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FEDD1" w14:textId="34021759" w:rsidR="00AD1F46" w:rsidRPr="00B55935" w:rsidRDefault="00AD1F46" w:rsidP="00AD1F46">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#96-e</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Pr="008209BF">
        <w:rPr>
          <w:rFonts w:ascii="Calibri" w:eastAsia="新細明體" w:hAnsi="Calibri" w:cs="Arial"/>
          <w:noProof w:val="0"/>
          <w:sz w:val="24"/>
          <w:szCs w:val="24"/>
          <w:lang w:eastAsia="ja-JP"/>
        </w:rPr>
        <w:t>R4-20</w:t>
      </w:r>
      <w:r w:rsidR="00E00B57">
        <w:rPr>
          <w:rFonts w:ascii="Calibri" w:eastAsia="新細明體" w:hAnsi="Calibri" w:cs="Arial"/>
          <w:noProof w:val="0"/>
          <w:sz w:val="24"/>
          <w:szCs w:val="24"/>
          <w:lang w:eastAsia="ja-JP"/>
        </w:rPr>
        <w:t>10315</w:t>
      </w:r>
      <w:bookmarkStart w:id="0" w:name="_GoBack"/>
      <w:bookmarkEnd w:id="0"/>
    </w:p>
    <w:p w14:paraId="64B36834" w14:textId="77777777" w:rsidR="00AD1F46" w:rsidRDefault="00AD1F46" w:rsidP="00AD1F46">
      <w:pPr>
        <w:ind w:left="1985" w:hanging="1985"/>
        <w:rPr>
          <w:rFonts w:ascii="Calibri" w:eastAsia="新細明體" w:hAnsi="Calibri" w:cs="Arial"/>
          <w:b/>
          <w:sz w:val="24"/>
          <w:szCs w:val="24"/>
          <w:lang w:eastAsia="ja-JP"/>
        </w:rPr>
      </w:pPr>
      <w:r w:rsidRPr="001A2314">
        <w:rPr>
          <w:rFonts w:ascii="Calibri" w:eastAsia="新細明體" w:hAnsi="Calibri" w:cs="Arial"/>
          <w:b/>
          <w:sz w:val="24"/>
          <w:szCs w:val="24"/>
          <w:lang w:eastAsia="ja-JP"/>
        </w:rPr>
        <w:t xml:space="preserve">Electronic Meeting, </w:t>
      </w:r>
      <w:r w:rsidRPr="008D1C21">
        <w:rPr>
          <w:rFonts w:ascii="Calibri" w:eastAsia="新細明體" w:hAnsi="Calibri" w:cs="Arial"/>
          <w:b/>
          <w:sz w:val="24"/>
          <w:szCs w:val="24"/>
          <w:lang w:eastAsia="ja-JP"/>
        </w:rPr>
        <w:t>17-28 Aug</w:t>
      </w:r>
      <w:r w:rsidRPr="00E05CF0">
        <w:rPr>
          <w:rFonts w:ascii="Calibri" w:eastAsia="新細明體" w:hAnsi="Calibri" w:cs="Arial"/>
          <w:b/>
          <w:sz w:val="24"/>
          <w:szCs w:val="24"/>
          <w:lang w:eastAsia="ja-JP"/>
        </w:rPr>
        <w:t>, 2020</w:t>
      </w:r>
    </w:p>
    <w:p w14:paraId="5A2B6F46" w14:textId="77777777" w:rsidR="003620A4" w:rsidRPr="002F29E4" w:rsidRDefault="003620A4" w:rsidP="003620A4">
      <w:pPr>
        <w:pStyle w:val="Header"/>
        <w:rPr>
          <w:rFonts w:ascii="Calibri" w:eastAsia="新細明體" w:hAnsi="Calibri"/>
          <w:sz w:val="24"/>
          <w:highlight w:val="yellow"/>
          <w:lang w:eastAsia="zh-TW"/>
        </w:rPr>
      </w:pPr>
    </w:p>
    <w:p w14:paraId="6352570E" w14:textId="064F55E7" w:rsidR="00FB1EA3" w:rsidRPr="00F52EE4" w:rsidRDefault="003620A4" w:rsidP="003620A4">
      <w:pPr>
        <w:ind w:left="1985" w:hanging="1985"/>
        <w:rPr>
          <w:rFonts w:cs="Arial"/>
          <w:b/>
          <w:bCs/>
        </w:rPr>
      </w:pPr>
      <w:r w:rsidRPr="00C57C45">
        <w:rPr>
          <w:rFonts w:cs="Arial"/>
          <w:b/>
          <w:bCs/>
        </w:rPr>
        <w:t xml:space="preserve">Agenda </w:t>
      </w:r>
      <w:r w:rsidRPr="00723515">
        <w:rPr>
          <w:rFonts w:cs="Arial"/>
          <w:b/>
          <w:bCs/>
        </w:rPr>
        <w:t>Item:</w:t>
      </w:r>
      <w:r w:rsidR="00FB1EA3" w:rsidRPr="00723515">
        <w:rPr>
          <w:rFonts w:cs="Arial"/>
          <w:b/>
          <w:bCs/>
        </w:rPr>
        <w:tab/>
      </w:r>
      <w:r w:rsidR="00AD1F46" w:rsidRPr="00AD1F46">
        <w:rPr>
          <w:rFonts w:cs="Arial"/>
          <w:b/>
          <w:bCs/>
        </w:rPr>
        <w:t>7.14.1.5</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734AF5F5" w:rsidR="00174EC2" w:rsidRDefault="0034111C" w:rsidP="007A4FCF">
      <w:pPr>
        <w:ind w:left="1985" w:hanging="1985"/>
        <w:rPr>
          <w:rFonts w:cs="Arial"/>
          <w:b/>
          <w:bCs/>
        </w:rPr>
      </w:pPr>
      <w:r w:rsidRPr="000C45FD">
        <w:rPr>
          <w:rFonts w:cs="Arial"/>
          <w:b/>
          <w:bCs/>
        </w:rPr>
        <w:t>Title:</w:t>
      </w:r>
      <w:r w:rsidRPr="000C45FD">
        <w:rPr>
          <w:rFonts w:cs="Arial"/>
          <w:b/>
          <w:bCs/>
        </w:rPr>
        <w:tab/>
      </w:r>
      <w:r w:rsidR="00C14B44">
        <w:rPr>
          <w:rFonts w:cs="Arial"/>
          <w:b/>
          <w:bCs/>
        </w:rPr>
        <w:t>S</w:t>
      </w:r>
      <w:r w:rsidR="00C14B44" w:rsidRPr="00C14B44">
        <w:rPr>
          <w:rFonts w:cs="Arial"/>
          <w:b/>
          <w:bCs/>
        </w:rPr>
        <w:t>ynchronization assumption</w:t>
      </w:r>
      <w:r w:rsidR="00D63919" w:rsidRPr="00D63919">
        <w:rPr>
          <w:rFonts w:cs="Arial"/>
          <w:b/>
          <w:bCs/>
        </w:rPr>
        <w:t xml:space="preserve"> for CSI-RS RRM</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5798EA33" w14:textId="29C9D92B" w:rsidR="00882F80" w:rsidRPr="009D38DD" w:rsidRDefault="00C1522F"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In the moderator’s summary </w:t>
      </w:r>
      <w:r w:rsidR="00CA75E5">
        <w:rPr>
          <w:rFonts w:asciiTheme="minorHAnsi" w:eastAsiaTheme="minorEastAsia" w:hAnsiTheme="minorHAnsi" w:cstheme="minorBidi"/>
          <w:color w:val="auto"/>
          <w:sz w:val="22"/>
          <w:szCs w:val="22"/>
        </w:rPr>
        <w:t>[1]</w:t>
      </w:r>
      <w:r w:rsidR="00621263">
        <w:rPr>
          <w:rFonts w:asciiTheme="minorHAnsi" w:eastAsiaTheme="minorEastAsia" w:hAnsiTheme="minorHAnsi" w:cstheme="minorBidi"/>
          <w:color w:val="auto"/>
          <w:sz w:val="22"/>
          <w:szCs w:val="22"/>
        </w:rPr>
        <w:t>, one open issue is mentioned about the synchronization assumption.</w:t>
      </w:r>
      <w:r w:rsidR="008F062A">
        <w:rPr>
          <w:rFonts w:asciiTheme="minorHAnsi" w:eastAsiaTheme="minorEastAsia" w:hAnsiTheme="minorHAnsi" w:cstheme="minorBidi"/>
          <w:color w:val="auto"/>
          <w:sz w:val="22"/>
          <w:szCs w:val="22"/>
        </w:rPr>
        <w:t xml:space="preserve"> The </w:t>
      </w:r>
      <w:r w:rsidR="008F062A" w:rsidRPr="009D38DD">
        <w:rPr>
          <w:rFonts w:asciiTheme="minorHAnsi" w:eastAsiaTheme="minorEastAsia" w:hAnsiTheme="minorHAnsi" w:cstheme="minorBidi"/>
          <w:color w:val="auto"/>
          <w:sz w:val="22"/>
          <w:szCs w:val="22"/>
        </w:rPr>
        <w:t>status of the 2</w:t>
      </w:r>
      <w:r w:rsidR="008F062A" w:rsidRPr="009D38DD">
        <w:rPr>
          <w:rFonts w:asciiTheme="minorHAnsi" w:eastAsiaTheme="minorEastAsia" w:hAnsiTheme="minorHAnsi" w:cstheme="minorBidi"/>
          <w:color w:val="auto"/>
          <w:sz w:val="22"/>
          <w:szCs w:val="22"/>
          <w:vertAlign w:val="superscript"/>
        </w:rPr>
        <w:t>nd</w:t>
      </w:r>
      <w:r w:rsidR="008F062A" w:rsidRPr="009D38DD">
        <w:rPr>
          <w:rFonts w:asciiTheme="minorHAnsi" w:eastAsiaTheme="minorEastAsia" w:hAnsiTheme="minorHAnsi" w:cstheme="minorBidi"/>
          <w:color w:val="auto"/>
          <w:sz w:val="22"/>
          <w:szCs w:val="22"/>
        </w:rPr>
        <w:t xml:space="preserve"> round discussion is captured below: </w:t>
      </w:r>
    </w:p>
    <w:tbl>
      <w:tblPr>
        <w:tblStyle w:val="TableGrid"/>
        <w:tblW w:w="0" w:type="auto"/>
        <w:tblLook w:val="04A0" w:firstRow="1" w:lastRow="0" w:firstColumn="1" w:lastColumn="0" w:noHBand="0" w:noVBand="1"/>
      </w:tblPr>
      <w:tblGrid>
        <w:gridCol w:w="9629"/>
      </w:tblGrid>
      <w:tr w:rsidR="009D38DD" w:rsidRPr="009D38DD" w14:paraId="540E5A2D" w14:textId="77777777" w:rsidTr="00882F80">
        <w:tc>
          <w:tcPr>
            <w:tcW w:w="9629" w:type="dxa"/>
          </w:tcPr>
          <w:p w14:paraId="6D7FAC2D" w14:textId="77777777" w:rsidR="008F062A" w:rsidRPr="009D38DD" w:rsidRDefault="008F062A" w:rsidP="008F062A">
            <w:pPr>
              <w:spacing w:after="0"/>
              <w:rPr>
                <w:b/>
                <w:sz w:val="18"/>
                <w:u w:val="single"/>
                <w:lang w:eastAsia="zh-CN"/>
              </w:rPr>
            </w:pPr>
            <w:r w:rsidRPr="009D38DD">
              <w:rPr>
                <w:b/>
                <w:sz w:val="18"/>
                <w:u w:val="single"/>
                <w:lang w:eastAsia="ko-KR"/>
              </w:rPr>
              <w:t xml:space="preserve">Issue </w:t>
            </w:r>
            <w:r w:rsidRPr="009D38DD">
              <w:rPr>
                <w:rFonts w:hint="eastAsia"/>
                <w:b/>
                <w:sz w:val="18"/>
                <w:u w:val="single"/>
                <w:lang w:eastAsia="zh-CN"/>
              </w:rPr>
              <w:t>4.2.2</w:t>
            </w:r>
            <w:r w:rsidRPr="009D38DD">
              <w:rPr>
                <w:b/>
                <w:sz w:val="18"/>
                <w:u w:val="single"/>
                <w:lang w:eastAsia="ko-KR"/>
              </w:rPr>
              <w:t>-1: F</w:t>
            </w:r>
            <w:r w:rsidRPr="009D38DD">
              <w:rPr>
                <w:b/>
                <w:sz w:val="18"/>
                <w:u w:val="single"/>
                <w:lang w:eastAsia="zh-CN"/>
              </w:rPr>
              <w:t>or CSI-RS measurement with associated SSB</w:t>
            </w:r>
            <w:r w:rsidRPr="009D38DD">
              <w:rPr>
                <w:rFonts w:hint="eastAsia"/>
                <w:b/>
                <w:sz w:val="18"/>
                <w:u w:val="single"/>
                <w:lang w:eastAsia="zh-CN"/>
              </w:rPr>
              <w:t>, the s</w:t>
            </w:r>
            <w:r w:rsidRPr="009D38DD">
              <w:rPr>
                <w:b/>
                <w:sz w:val="18"/>
                <w:u w:val="single"/>
                <w:lang w:eastAsia="zh-CN"/>
              </w:rPr>
              <w:t>ynchronization</w:t>
            </w:r>
            <w:r w:rsidRPr="009D38DD">
              <w:rPr>
                <w:rFonts w:hint="eastAsia"/>
                <w:b/>
                <w:sz w:val="18"/>
                <w:u w:val="single"/>
                <w:lang w:eastAsia="zh-CN"/>
              </w:rPr>
              <w:t xml:space="preserve"> assumption for CSI-RS </w:t>
            </w:r>
            <w:r w:rsidRPr="009D38DD">
              <w:rPr>
                <w:b/>
                <w:sz w:val="18"/>
                <w:u w:val="single"/>
                <w:lang w:eastAsia="zh-CN"/>
              </w:rPr>
              <w:t>measurement</w:t>
            </w:r>
            <w:r w:rsidRPr="009D38DD">
              <w:rPr>
                <w:rFonts w:hint="eastAsia"/>
                <w:b/>
                <w:sz w:val="18"/>
                <w:u w:val="single"/>
                <w:lang w:eastAsia="zh-CN"/>
              </w:rPr>
              <w:t xml:space="preserve"> requirements.</w:t>
            </w:r>
          </w:p>
          <w:p w14:paraId="55FD3767" w14:textId="23152F01" w:rsidR="008F062A" w:rsidRPr="009D38DD" w:rsidRDefault="008F062A" w:rsidP="008F062A">
            <w:pPr>
              <w:pStyle w:val="ListParagraph"/>
              <w:numPr>
                <w:ilvl w:val="0"/>
                <w:numId w:val="39"/>
              </w:numPr>
              <w:spacing w:after="0" w:line="240" w:lineRule="auto"/>
              <w:ind w:left="720"/>
              <w:contextualSpacing w:val="0"/>
              <w:rPr>
                <w:rFonts w:eastAsia="SimSun"/>
                <w:sz w:val="18"/>
                <w:szCs w:val="18"/>
                <w:lang w:eastAsia="zh-CN"/>
              </w:rPr>
            </w:pPr>
            <w:r w:rsidRPr="009D38DD">
              <w:rPr>
                <w:rFonts w:eastAsia="SimSun" w:hint="eastAsia"/>
                <w:sz w:val="18"/>
                <w:szCs w:val="18"/>
                <w:lang w:eastAsia="zh-CN"/>
              </w:rPr>
              <w:t>Option 1</w:t>
            </w:r>
            <w:r w:rsidRPr="009D38DD">
              <w:rPr>
                <w:rFonts w:eastAsia="SimSun"/>
                <w:sz w:val="18"/>
                <w:szCs w:val="18"/>
                <w:lang w:eastAsia="zh-CN"/>
              </w:rPr>
              <w:t xml:space="preserve"> : </w:t>
            </w:r>
            <w:r w:rsidRPr="009D38DD">
              <w:rPr>
                <w:rFonts w:eastAsia="SimSun" w:hint="eastAsia"/>
                <w:sz w:val="18"/>
                <w:szCs w:val="18"/>
                <w:lang w:eastAsia="zh-CN"/>
              </w:rPr>
              <w:t>(MTK, vivo, CATT, OPPO, Intel, Qualcomm, LGE, NEC)</w:t>
            </w:r>
          </w:p>
          <w:p w14:paraId="6E434A66" w14:textId="77777777" w:rsidR="008F062A" w:rsidRPr="009D38DD" w:rsidRDefault="008F062A" w:rsidP="008F062A">
            <w:pPr>
              <w:pStyle w:val="ListParagraph"/>
              <w:numPr>
                <w:ilvl w:val="1"/>
                <w:numId w:val="39"/>
              </w:numPr>
              <w:spacing w:after="0" w:line="240" w:lineRule="auto"/>
              <w:contextualSpacing w:val="0"/>
              <w:rPr>
                <w:rFonts w:eastAsia="SimSun"/>
                <w:sz w:val="18"/>
                <w:szCs w:val="18"/>
                <w:lang w:eastAsia="zh-CN"/>
              </w:rPr>
            </w:pPr>
            <w:r w:rsidRPr="009D38DD">
              <w:rPr>
                <w:rFonts w:eastAsia="SimSun"/>
                <w:sz w:val="18"/>
                <w:szCs w:val="18"/>
                <w:lang w:eastAsia="zh-CN"/>
              </w:rPr>
              <w:t>RAN4 to address the issue of timing difference between the arrival of the CSI-RS and UE’s FFT timing in the performance part, rather than limit the applicable condition in core part.</w:t>
            </w:r>
          </w:p>
          <w:p w14:paraId="268A1F0C" w14:textId="15F91BA7" w:rsidR="008F062A" w:rsidRPr="009D38DD" w:rsidRDefault="008F062A" w:rsidP="008F062A">
            <w:pPr>
              <w:pStyle w:val="ListParagraph"/>
              <w:numPr>
                <w:ilvl w:val="0"/>
                <w:numId w:val="39"/>
              </w:numPr>
              <w:spacing w:after="0" w:line="240" w:lineRule="auto"/>
              <w:ind w:left="720"/>
              <w:contextualSpacing w:val="0"/>
              <w:rPr>
                <w:rFonts w:eastAsia="SimSun"/>
                <w:sz w:val="18"/>
                <w:szCs w:val="18"/>
                <w:lang w:eastAsia="zh-CN"/>
              </w:rPr>
            </w:pPr>
            <w:r w:rsidRPr="009D38DD">
              <w:rPr>
                <w:rFonts w:eastAsia="SimSun" w:hint="eastAsia"/>
                <w:sz w:val="18"/>
                <w:szCs w:val="18"/>
                <w:lang w:eastAsia="zh-CN"/>
              </w:rPr>
              <w:t>Option 2</w:t>
            </w:r>
            <w:r w:rsidRPr="009D38DD">
              <w:rPr>
                <w:rFonts w:eastAsia="SimSun"/>
                <w:sz w:val="18"/>
                <w:szCs w:val="18"/>
                <w:lang w:eastAsia="zh-CN"/>
              </w:rPr>
              <w:t xml:space="preserve"> : </w:t>
            </w:r>
            <w:r w:rsidRPr="009D38DD">
              <w:rPr>
                <w:rFonts w:eastAsia="SimSun" w:hint="eastAsia"/>
                <w:sz w:val="18"/>
                <w:szCs w:val="18"/>
                <w:lang w:eastAsia="zh-CN"/>
              </w:rPr>
              <w:t>(CMCC, Huawei, Nokia, ZTE, DOCOMO, Apple)</w:t>
            </w:r>
          </w:p>
          <w:p w14:paraId="1BD5C9BB" w14:textId="09B9A321" w:rsidR="008F062A" w:rsidRPr="009D38DD" w:rsidRDefault="008F062A" w:rsidP="008F062A">
            <w:pPr>
              <w:pStyle w:val="ListParagraph"/>
              <w:numPr>
                <w:ilvl w:val="1"/>
                <w:numId w:val="39"/>
              </w:numPr>
              <w:spacing w:after="0" w:line="240" w:lineRule="auto"/>
              <w:contextualSpacing w:val="0"/>
              <w:rPr>
                <w:rFonts w:eastAsia="SimSun"/>
                <w:sz w:val="18"/>
                <w:szCs w:val="18"/>
                <w:lang w:eastAsia="zh-CN"/>
              </w:rPr>
            </w:pPr>
            <w:r w:rsidRPr="009D38DD">
              <w:rPr>
                <w:rFonts w:eastAsia="SimSun"/>
                <w:sz w:val="18"/>
                <w:szCs w:val="18"/>
                <w:lang w:eastAsia="zh-CN"/>
              </w:rPr>
              <w:t>For the case with associatedSSB, UE base the timing on the cell given by the cellId of the CSI-RS resource configuration</w:t>
            </w:r>
            <w:r w:rsidRPr="009D38DD">
              <w:rPr>
                <w:rFonts w:eastAsia="SimSun" w:hint="eastAsia"/>
                <w:sz w:val="18"/>
                <w:szCs w:val="18"/>
                <w:lang w:eastAsia="zh-CN"/>
              </w:rPr>
              <w:t>.</w:t>
            </w:r>
          </w:p>
          <w:p w14:paraId="73A8D183" w14:textId="6437F073" w:rsidR="008F062A" w:rsidRPr="009D38DD" w:rsidRDefault="008F062A" w:rsidP="008F062A">
            <w:pPr>
              <w:pStyle w:val="ListParagraph"/>
              <w:numPr>
                <w:ilvl w:val="0"/>
                <w:numId w:val="39"/>
              </w:numPr>
              <w:spacing w:after="0" w:line="240" w:lineRule="auto"/>
              <w:ind w:left="720"/>
              <w:contextualSpacing w:val="0"/>
              <w:rPr>
                <w:rFonts w:eastAsia="SimSun"/>
                <w:sz w:val="18"/>
                <w:szCs w:val="18"/>
                <w:lang w:eastAsia="zh-CN"/>
              </w:rPr>
            </w:pPr>
            <w:r w:rsidRPr="009D38DD">
              <w:rPr>
                <w:rFonts w:eastAsia="SimSun" w:hint="eastAsia"/>
                <w:sz w:val="18"/>
                <w:szCs w:val="18"/>
                <w:lang w:eastAsia="zh-CN"/>
              </w:rPr>
              <w:t>Option 3</w:t>
            </w:r>
            <w:r w:rsidRPr="009D38DD">
              <w:rPr>
                <w:rFonts w:eastAsia="SimSun"/>
                <w:sz w:val="18"/>
                <w:szCs w:val="18"/>
                <w:lang w:eastAsia="zh-CN"/>
              </w:rPr>
              <w:t xml:space="preserve"> : </w:t>
            </w:r>
            <w:r w:rsidRPr="009D38DD">
              <w:rPr>
                <w:rFonts w:eastAsia="SimSun" w:hint="eastAsia"/>
                <w:sz w:val="18"/>
                <w:szCs w:val="18"/>
                <w:lang w:eastAsia="zh-CN"/>
              </w:rPr>
              <w:t>(Huawei</w:t>
            </w:r>
            <w:r w:rsidRPr="009D38DD">
              <w:rPr>
                <w:rFonts w:eastAsia="SimSun"/>
                <w:sz w:val="18"/>
                <w:szCs w:val="18"/>
                <w:lang w:eastAsia="zh-CN"/>
              </w:rPr>
              <w:t>, CMCC</w:t>
            </w:r>
            <w:r w:rsidRPr="009D38DD">
              <w:rPr>
                <w:rFonts w:eastAsia="SimSun" w:hint="eastAsia"/>
                <w:sz w:val="18"/>
                <w:szCs w:val="18"/>
                <w:lang w:eastAsia="zh-CN"/>
              </w:rPr>
              <w:t>)</w:t>
            </w:r>
          </w:p>
          <w:p w14:paraId="2E7A92D7" w14:textId="77777777" w:rsidR="008F062A" w:rsidRPr="009D38DD" w:rsidRDefault="008F062A" w:rsidP="008F062A">
            <w:pPr>
              <w:pStyle w:val="ListParagraph"/>
              <w:numPr>
                <w:ilvl w:val="1"/>
                <w:numId w:val="39"/>
              </w:numPr>
              <w:spacing w:after="0" w:line="240" w:lineRule="auto"/>
              <w:contextualSpacing w:val="0"/>
              <w:rPr>
                <w:rFonts w:eastAsia="SimSun"/>
                <w:sz w:val="18"/>
                <w:szCs w:val="24"/>
                <w:lang w:eastAsia="zh-CN"/>
              </w:rPr>
            </w:pPr>
            <w:r w:rsidRPr="009D38DD">
              <w:rPr>
                <w:rFonts w:eastAsia="SimSun"/>
                <w:sz w:val="18"/>
                <w:szCs w:val="18"/>
                <w:lang w:eastAsia="zh-CN"/>
              </w:rPr>
              <w:t>When CSI-RS measurement is configured with associated</w:t>
            </w:r>
            <w:r w:rsidRPr="009D38DD">
              <w:rPr>
                <w:rFonts w:eastAsia="SimSun"/>
                <w:sz w:val="18"/>
                <w:szCs w:val="24"/>
                <w:lang w:eastAsia="zh-CN"/>
              </w:rPr>
              <w:t xml:space="preserve"> SSB, UE is assumed to use the timing of the detected SSB, and the CSI-RS measurement requirements is not conditioned on network synchronization.</w:t>
            </w:r>
            <w:r w:rsidRPr="009D38DD">
              <w:rPr>
                <w:rFonts w:eastAsia="SimSun" w:hint="eastAsia"/>
                <w:sz w:val="18"/>
                <w:szCs w:val="24"/>
                <w:lang w:eastAsia="zh-CN"/>
              </w:rPr>
              <w:t xml:space="preserve"> Otherwise</w:t>
            </w:r>
            <w:r w:rsidRPr="009D38DD">
              <w:rPr>
                <w:rFonts w:eastAsia="SimSun"/>
                <w:sz w:val="18"/>
                <w:szCs w:val="24"/>
                <w:lang w:eastAsia="zh-CN"/>
              </w:rPr>
              <w:t xml:space="preserve">, RAN4 should define a UE capability to indicate if UE supports CSI-RS measurement based on timing of each individual associated SSB or a single timing per MO. </w:t>
            </w:r>
          </w:p>
          <w:p w14:paraId="11F04D8F" w14:textId="7C8A1F2F" w:rsidR="008F062A" w:rsidRPr="009D38DD" w:rsidRDefault="008F062A" w:rsidP="008F062A">
            <w:pPr>
              <w:pStyle w:val="ListParagraph"/>
              <w:numPr>
                <w:ilvl w:val="0"/>
                <w:numId w:val="39"/>
              </w:numPr>
              <w:spacing w:after="0" w:line="240" w:lineRule="auto"/>
              <w:ind w:left="720"/>
              <w:contextualSpacing w:val="0"/>
              <w:rPr>
                <w:rFonts w:eastAsia="SimSun"/>
                <w:sz w:val="18"/>
                <w:szCs w:val="24"/>
                <w:lang w:eastAsia="zh-CN"/>
              </w:rPr>
            </w:pPr>
            <w:r w:rsidRPr="009D38DD">
              <w:rPr>
                <w:rFonts w:eastAsia="SimSun" w:hint="eastAsia"/>
                <w:sz w:val="18"/>
                <w:szCs w:val="24"/>
                <w:lang w:eastAsia="zh-CN"/>
              </w:rPr>
              <w:t xml:space="preserve">Option </w:t>
            </w:r>
            <w:r w:rsidRPr="009D38DD">
              <w:rPr>
                <w:rFonts w:eastAsia="SimSun"/>
                <w:sz w:val="18"/>
                <w:szCs w:val="24"/>
                <w:lang w:eastAsia="zh-CN"/>
              </w:rPr>
              <w:t xml:space="preserve">4 : </w:t>
            </w:r>
            <w:r w:rsidRPr="009D38DD">
              <w:rPr>
                <w:rFonts w:eastAsia="SimSun" w:hint="eastAsia"/>
                <w:sz w:val="18"/>
                <w:szCs w:val="24"/>
                <w:lang w:eastAsia="zh-CN"/>
              </w:rPr>
              <w:t>(LGE)</w:t>
            </w:r>
          </w:p>
          <w:p w14:paraId="4ADC2F41" w14:textId="77777777" w:rsidR="008F062A" w:rsidRPr="009D38DD" w:rsidRDefault="008F062A" w:rsidP="008F062A">
            <w:pPr>
              <w:pStyle w:val="ListParagraph"/>
              <w:numPr>
                <w:ilvl w:val="1"/>
                <w:numId w:val="39"/>
              </w:numPr>
              <w:overflowPunct w:val="0"/>
              <w:autoSpaceDE w:val="0"/>
              <w:autoSpaceDN w:val="0"/>
              <w:adjustRightInd w:val="0"/>
              <w:spacing w:after="0" w:line="240" w:lineRule="auto"/>
              <w:contextualSpacing w:val="0"/>
              <w:textAlignment w:val="baseline"/>
              <w:rPr>
                <w:rFonts w:eastAsia="SimSun"/>
                <w:sz w:val="18"/>
                <w:szCs w:val="24"/>
                <w:lang w:eastAsia="zh-CN"/>
              </w:rPr>
            </w:pPr>
            <w:r w:rsidRPr="009D38DD">
              <w:rPr>
                <w:rFonts w:eastAsia="SimSun"/>
                <w:sz w:val="18"/>
                <w:szCs w:val="24"/>
                <w:lang w:eastAsia="zh-CN"/>
              </w:rPr>
              <w:t>Tight synchronization level between serving and neighbour cell should be considered to utilize CSI-RS L3 measurement.</w:t>
            </w:r>
          </w:p>
          <w:p w14:paraId="441AD29B" w14:textId="0BAD8205" w:rsidR="00882F80" w:rsidRPr="009D38DD" w:rsidRDefault="008F062A" w:rsidP="008F062A">
            <w:pPr>
              <w:pStyle w:val="ListParagraph"/>
              <w:numPr>
                <w:ilvl w:val="1"/>
                <w:numId w:val="39"/>
              </w:numPr>
              <w:overflowPunct w:val="0"/>
              <w:autoSpaceDE w:val="0"/>
              <w:autoSpaceDN w:val="0"/>
              <w:adjustRightInd w:val="0"/>
              <w:spacing w:after="0" w:line="240" w:lineRule="auto"/>
              <w:contextualSpacing w:val="0"/>
              <w:textAlignment w:val="baseline"/>
              <w:rPr>
                <w:sz w:val="18"/>
              </w:rPr>
            </w:pPr>
            <w:r w:rsidRPr="009D38DD">
              <w:rPr>
                <w:rFonts w:eastAsia="SimSun"/>
                <w:sz w:val="18"/>
                <w:szCs w:val="24"/>
                <w:lang w:eastAsia="zh-CN"/>
              </w:rPr>
              <w:t>Tight synchronization level less than CP length is needed to support different SCS value.</w:t>
            </w:r>
          </w:p>
        </w:tc>
      </w:tr>
    </w:tbl>
    <w:p w14:paraId="5E7E7A98" w14:textId="6E1FD6CC" w:rsidR="00691A69" w:rsidRPr="00842EE0" w:rsidRDefault="00B61281"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In this paper, we express our view on </w:t>
      </w:r>
      <w:r w:rsidR="00621263">
        <w:rPr>
          <w:rFonts w:asciiTheme="minorHAnsi" w:eastAsiaTheme="minorEastAsia" w:hAnsiTheme="minorHAnsi" w:cstheme="minorBidi"/>
          <w:color w:val="auto"/>
          <w:sz w:val="22"/>
          <w:szCs w:val="22"/>
        </w:rPr>
        <w:t>this open issue</w:t>
      </w:r>
      <w:r>
        <w:rPr>
          <w:rFonts w:asciiTheme="minorHAnsi" w:eastAsiaTheme="minorEastAsia" w:hAnsiTheme="minorHAnsi" w:cstheme="minorBidi"/>
          <w:color w:val="auto"/>
          <w:sz w:val="22"/>
          <w:szCs w:val="22"/>
        </w:rPr>
        <w:t>.</w:t>
      </w:r>
      <w:r w:rsidR="00E04A03">
        <w:rPr>
          <w:rFonts w:asciiTheme="minorHAnsi" w:eastAsiaTheme="minorEastAsia" w:hAnsiTheme="minorHAnsi" w:cstheme="minorBidi"/>
          <w:color w:val="auto"/>
          <w:sz w:val="22"/>
          <w:szCs w:val="22"/>
        </w:rPr>
        <w:t xml:space="preserve"> </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02BB98F8" w14:textId="629A9CFC" w:rsidR="000F2C5C" w:rsidRDefault="009B5952" w:rsidP="000F2C5C">
      <w:pPr>
        <w:pStyle w:val="Caption"/>
        <w:jc w:val="both"/>
        <w:rPr>
          <w:b w:val="0"/>
          <w:sz w:val="22"/>
          <w:szCs w:val="22"/>
        </w:rPr>
      </w:pPr>
      <w:r w:rsidRPr="009B5952">
        <w:rPr>
          <w:b w:val="0"/>
          <w:sz w:val="22"/>
          <w:szCs w:val="22"/>
        </w:rPr>
        <w:t>T</w:t>
      </w:r>
      <w:r>
        <w:rPr>
          <w:b w:val="0"/>
          <w:sz w:val="22"/>
          <w:szCs w:val="22"/>
        </w:rPr>
        <w:t>he very first thing to check is the WID.</w:t>
      </w:r>
    </w:p>
    <w:tbl>
      <w:tblPr>
        <w:tblStyle w:val="TableGrid"/>
        <w:tblW w:w="0" w:type="auto"/>
        <w:tblInd w:w="284" w:type="dxa"/>
        <w:tblLook w:val="04A0" w:firstRow="1" w:lastRow="0" w:firstColumn="1" w:lastColumn="0" w:noHBand="0" w:noVBand="1"/>
      </w:tblPr>
      <w:tblGrid>
        <w:gridCol w:w="9345"/>
      </w:tblGrid>
      <w:tr w:rsidR="009B5952" w14:paraId="58F403DF" w14:textId="77777777" w:rsidTr="009B5952">
        <w:tc>
          <w:tcPr>
            <w:tcW w:w="9629" w:type="dxa"/>
          </w:tcPr>
          <w:p w14:paraId="56DA8749" w14:textId="77777777" w:rsidR="009B5952" w:rsidRPr="009B5952" w:rsidRDefault="009B5952" w:rsidP="0012745D">
            <w:pPr>
              <w:spacing w:after="0"/>
              <w:jc w:val="both"/>
              <w:rPr>
                <w:rFonts w:eastAsia="SimSun"/>
                <w:sz w:val="18"/>
                <w:lang w:eastAsia="zh-CN"/>
              </w:rPr>
            </w:pPr>
            <w:r w:rsidRPr="009B5952">
              <w:rPr>
                <w:rFonts w:eastAsia="SimSun"/>
                <w:sz w:val="18"/>
                <w:lang w:eastAsia="zh-CN"/>
              </w:rPr>
              <w:t>T</w:t>
            </w:r>
            <w:r w:rsidRPr="009B5952">
              <w:rPr>
                <w:rFonts w:eastAsia="SimSun" w:hint="eastAsia"/>
                <w:sz w:val="18"/>
                <w:lang w:eastAsia="zh-CN"/>
              </w:rPr>
              <w:t>his new WID proposed to specify RRM requirements for CSI-RS based L3 measurements with the following aspects,</w:t>
            </w:r>
          </w:p>
          <w:p w14:paraId="1884CCE5" w14:textId="77777777" w:rsidR="009B5952" w:rsidRPr="009B5952" w:rsidRDefault="009B5952" w:rsidP="0012745D">
            <w:pPr>
              <w:numPr>
                <w:ilvl w:val="0"/>
                <w:numId w:val="36"/>
              </w:numPr>
              <w:overflowPunct w:val="0"/>
              <w:autoSpaceDE w:val="0"/>
              <w:autoSpaceDN w:val="0"/>
              <w:adjustRightInd w:val="0"/>
              <w:spacing w:after="0" w:line="240" w:lineRule="auto"/>
              <w:textAlignment w:val="baseline"/>
              <w:rPr>
                <w:sz w:val="18"/>
                <w:lang w:eastAsia="ja-JP" w:bidi="hi-IN"/>
              </w:rPr>
            </w:pPr>
            <w:r w:rsidRPr="009B5952">
              <w:rPr>
                <w:sz w:val="18"/>
                <w:lang w:eastAsia="ja-JP" w:bidi="hi-IN"/>
              </w:rPr>
              <w:t xml:space="preserve">Assumptions on Synchronization </w:t>
            </w:r>
          </w:p>
          <w:p w14:paraId="39B52AB5" w14:textId="77777777" w:rsidR="009B5952" w:rsidRPr="009B5952" w:rsidRDefault="009B5952" w:rsidP="0012745D">
            <w:pPr>
              <w:numPr>
                <w:ilvl w:val="1"/>
                <w:numId w:val="37"/>
              </w:numPr>
              <w:overflowPunct w:val="0"/>
              <w:autoSpaceDE w:val="0"/>
              <w:autoSpaceDN w:val="0"/>
              <w:adjustRightInd w:val="0"/>
              <w:spacing w:after="0" w:line="240" w:lineRule="auto"/>
              <w:textAlignment w:val="baseline"/>
              <w:rPr>
                <w:sz w:val="18"/>
                <w:lang w:eastAsia="ja-JP" w:bidi="hi-IN"/>
              </w:rPr>
            </w:pPr>
            <w:r w:rsidRPr="009B5952">
              <w:rPr>
                <w:sz w:val="18"/>
                <w:highlight w:val="yellow"/>
                <w:lang w:eastAsia="ja-JP" w:bidi="hi-IN"/>
              </w:rPr>
              <w:t>Single FFT is assumed for multiple cell measurements per frequency layer</w:t>
            </w:r>
            <w:r w:rsidRPr="009B5952">
              <w:rPr>
                <w:sz w:val="18"/>
                <w:lang w:eastAsia="ja-JP" w:bidi="hi-IN"/>
              </w:rPr>
              <w:t xml:space="preserve"> for both intra- and inter-frequency measurements.  </w:t>
            </w:r>
          </w:p>
          <w:p w14:paraId="76344076" w14:textId="77777777" w:rsidR="009B5952" w:rsidRPr="009B5952" w:rsidRDefault="009B5952" w:rsidP="0012745D">
            <w:pPr>
              <w:numPr>
                <w:ilvl w:val="0"/>
                <w:numId w:val="36"/>
              </w:numPr>
              <w:overflowPunct w:val="0"/>
              <w:autoSpaceDE w:val="0"/>
              <w:autoSpaceDN w:val="0"/>
              <w:adjustRightInd w:val="0"/>
              <w:spacing w:after="0" w:line="240" w:lineRule="auto"/>
              <w:textAlignment w:val="baseline"/>
              <w:rPr>
                <w:sz w:val="18"/>
                <w:lang w:eastAsia="ja-JP" w:bidi="hi-IN"/>
              </w:rPr>
            </w:pPr>
            <w:r w:rsidRPr="009B5952">
              <w:rPr>
                <w:sz w:val="18"/>
                <w:lang w:eastAsia="ja-JP" w:bidi="hi-IN"/>
              </w:rPr>
              <w:t xml:space="preserve">Measurement bandwidth of CSI-RS </w:t>
            </w:r>
            <w:r w:rsidRPr="009B5952">
              <w:rPr>
                <w:rFonts w:hint="eastAsia"/>
                <w:sz w:val="18"/>
                <w:lang w:eastAsia="zh-CN" w:bidi="hi-IN"/>
              </w:rPr>
              <w:t>for</w:t>
            </w:r>
            <w:r w:rsidRPr="009B5952">
              <w:rPr>
                <w:sz w:val="18"/>
                <w:lang w:eastAsia="ja-JP" w:bidi="hi-IN"/>
              </w:rPr>
              <w:t xml:space="preserve"> the minimum requirements</w:t>
            </w:r>
          </w:p>
          <w:p w14:paraId="4D99DF7C" w14:textId="77777777" w:rsidR="009B5952" w:rsidRPr="009B5952" w:rsidRDefault="009B5952" w:rsidP="0012745D">
            <w:pPr>
              <w:numPr>
                <w:ilvl w:val="0"/>
                <w:numId w:val="36"/>
              </w:numPr>
              <w:overflowPunct w:val="0"/>
              <w:autoSpaceDE w:val="0"/>
              <w:autoSpaceDN w:val="0"/>
              <w:adjustRightInd w:val="0"/>
              <w:spacing w:after="0" w:line="240" w:lineRule="auto"/>
              <w:textAlignment w:val="baseline"/>
              <w:rPr>
                <w:sz w:val="18"/>
                <w:lang w:eastAsia="ja-JP" w:bidi="hi-IN"/>
              </w:rPr>
            </w:pPr>
            <w:r w:rsidRPr="009B5952">
              <w:rPr>
                <w:sz w:val="18"/>
                <w:lang w:eastAsia="ja-JP" w:bidi="hi-IN"/>
              </w:rPr>
              <w:t xml:space="preserve">CSI-RS based intra-frequency and inter-frequency definition </w:t>
            </w:r>
          </w:p>
          <w:p w14:paraId="231F7230" w14:textId="77777777" w:rsidR="009B5952" w:rsidRPr="009B5952" w:rsidRDefault="009B5952" w:rsidP="0012745D">
            <w:pPr>
              <w:numPr>
                <w:ilvl w:val="0"/>
                <w:numId w:val="36"/>
              </w:numPr>
              <w:overflowPunct w:val="0"/>
              <w:autoSpaceDE w:val="0"/>
              <w:autoSpaceDN w:val="0"/>
              <w:adjustRightInd w:val="0"/>
              <w:spacing w:after="0" w:line="240" w:lineRule="auto"/>
              <w:textAlignment w:val="baseline"/>
              <w:rPr>
                <w:sz w:val="18"/>
                <w:lang w:eastAsia="ja-JP" w:bidi="hi-IN"/>
              </w:rPr>
            </w:pPr>
            <w:r w:rsidRPr="009B5952">
              <w:rPr>
                <w:sz w:val="18"/>
                <w:lang w:eastAsia="ja-JP" w:bidi="hi-IN"/>
              </w:rPr>
              <w:t xml:space="preserve">Intra-frequency and inter-frequency measurement requirements </w:t>
            </w:r>
          </w:p>
          <w:p w14:paraId="086C62A0" w14:textId="77777777" w:rsidR="009B5952" w:rsidRPr="009B5952" w:rsidRDefault="009B5952" w:rsidP="0012745D">
            <w:pPr>
              <w:numPr>
                <w:ilvl w:val="0"/>
                <w:numId w:val="36"/>
              </w:numPr>
              <w:overflowPunct w:val="0"/>
              <w:autoSpaceDE w:val="0"/>
              <w:autoSpaceDN w:val="0"/>
              <w:adjustRightInd w:val="0"/>
              <w:spacing w:after="0" w:line="240" w:lineRule="auto"/>
              <w:textAlignment w:val="baseline"/>
              <w:rPr>
                <w:sz w:val="18"/>
                <w:lang w:eastAsia="ja-JP" w:bidi="hi-IN"/>
              </w:rPr>
            </w:pPr>
            <w:r w:rsidRPr="009B5952">
              <w:rPr>
                <w:sz w:val="18"/>
                <w:lang w:eastAsia="ja-JP" w:bidi="hi-IN"/>
              </w:rPr>
              <w:t>Evaluate and specify CSI-RS based L3 measurement accuracy</w:t>
            </w:r>
          </w:p>
          <w:p w14:paraId="185A3D72" w14:textId="260E0DD9" w:rsidR="009B5952" w:rsidRPr="009B5952" w:rsidRDefault="009B5952" w:rsidP="0012745D">
            <w:pPr>
              <w:numPr>
                <w:ilvl w:val="0"/>
                <w:numId w:val="36"/>
              </w:numPr>
              <w:overflowPunct w:val="0"/>
              <w:autoSpaceDE w:val="0"/>
              <w:autoSpaceDN w:val="0"/>
              <w:adjustRightInd w:val="0"/>
              <w:spacing w:after="0" w:line="240" w:lineRule="auto"/>
              <w:textAlignment w:val="baseline"/>
              <w:rPr>
                <w:lang w:eastAsia="x-none"/>
              </w:rPr>
            </w:pPr>
            <w:r w:rsidRPr="009B5952">
              <w:rPr>
                <w:sz w:val="18"/>
                <w:lang w:eastAsia="ja-JP" w:bidi="hi-IN"/>
              </w:rPr>
              <w:t xml:space="preserve">Introduce new UE measurement capability, including number of frequency layer and number of cells etc., for CSI-RS based measurement </w:t>
            </w:r>
          </w:p>
        </w:tc>
      </w:tr>
    </w:tbl>
    <w:p w14:paraId="25E99C05" w14:textId="6B320805" w:rsidR="00087E61" w:rsidRDefault="009B5952" w:rsidP="0012745D">
      <w:pPr>
        <w:spacing w:before="120"/>
        <w:jc w:val="both"/>
        <w:rPr>
          <w:lang w:val="x-none" w:eastAsia="x-none"/>
        </w:rPr>
      </w:pPr>
      <w:r>
        <w:rPr>
          <w:lang w:val="x-none" w:eastAsia="x-none"/>
        </w:rPr>
        <w:t xml:space="preserve">Single FFT is assumed in this whole WI and is to be used to measure all cells (including serving cell and all neighboring cells) in a frequency layer. </w:t>
      </w:r>
      <w:r w:rsidR="000E17E1">
        <w:rPr>
          <w:lang w:val="x-none" w:eastAsia="x-none"/>
        </w:rPr>
        <w:t>T</w:t>
      </w:r>
      <w:r>
        <w:rPr>
          <w:lang w:val="x-none" w:eastAsia="x-none"/>
        </w:rPr>
        <w:t xml:space="preserve">he </w:t>
      </w:r>
      <w:r w:rsidR="0012745D">
        <w:rPr>
          <w:lang w:val="x-none" w:eastAsia="x-none"/>
        </w:rPr>
        <w:t xml:space="preserve">single </w:t>
      </w:r>
      <w:r>
        <w:rPr>
          <w:lang w:val="x-none" w:eastAsia="x-none"/>
        </w:rPr>
        <w:t>FFT window t</w:t>
      </w:r>
      <w:r w:rsidR="0012745D">
        <w:rPr>
          <w:lang w:val="x-none" w:eastAsia="x-none"/>
        </w:rPr>
        <w:t>iming can</w:t>
      </w:r>
      <w:r w:rsidR="00860537">
        <w:rPr>
          <w:lang w:val="x-none" w:eastAsia="x-none"/>
        </w:rPr>
        <w:t>not</w:t>
      </w:r>
      <w:r w:rsidR="0012745D">
        <w:rPr>
          <w:lang w:val="x-none" w:eastAsia="x-none"/>
        </w:rPr>
        <w:t xml:space="preserve"> be optimized to all</w:t>
      </w:r>
      <w:r>
        <w:rPr>
          <w:lang w:val="x-none" w:eastAsia="x-none"/>
        </w:rPr>
        <w:t xml:space="preserve"> cell</w:t>
      </w:r>
      <w:r w:rsidR="0012745D">
        <w:rPr>
          <w:lang w:val="x-none" w:eastAsia="x-none"/>
        </w:rPr>
        <w:t>s</w:t>
      </w:r>
      <w:r>
        <w:rPr>
          <w:lang w:val="x-none" w:eastAsia="x-none"/>
        </w:rPr>
        <w:t xml:space="preserve">. </w:t>
      </w:r>
    </w:p>
    <w:p w14:paraId="04F02A9E" w14:textId="20F802C9" w:rsidR="008E2FC7" w:rsidRDefault="00087E61" w:rsidP="00087E61">
      <w:pPr>
        <w:pStyle w:val="ListParagraph"/>
        <w:numPr>
          <w:ilvl w:val="0"/>
          <w:numId w:val="38"/>
        </w:numPr>
        <w:jc w:val="both"/>
        <w:rPr>
          <w:lang w:val="x-none" w:eastAsia="x-none"/>
        </w:rPr>
      </w:pPr>
      <w:r>
        <w:rPr>
          <w:lang w:val="x-none" w:eastAsia="x-none"/>
        </w:rPr>
        <w:t>The</w:t>
      </w:r>
      <w:r w:rsidR="008E2FC7" w:rsidRPr="00087E61">
        <w:rPr>
          <w:lang w:val="x-none" w:eastAsia="x-none"/>
        </w:rPr>
        <w:t xml:space="preserve"> example for an int</w:t>
      </w:r>
      <w:r>
        <w:rPr>
          <w:lang w:val="x-none" w:eastAsia="x-none"/>
        </w:rPr>
        <w:t>ra</w:t>
      </w:r>
      <w:r w:rsidR="008E2FC7" w:rsidRPr="00087E61">
        <w:rPr>
          <w:lang w:val="x-none" w:eastAsia="x-none"/>
        </w:rPr>
        <w:t xml:space="preserve">-frequency layer </w:t>
      </w:r>
      <w:r w:rsidRPr="00087E61">
        <w:rPr>
          <w:lang w:val="x-none" w:eastAsia="x-none"/>
        </w:rPr>
        <w:t>with serving cell</w:t>
      </w:r>
      <w:r>
        <w:rPr>
          <w:lang w:val="x-none" w:eastAsia="x-none"/>
        </w:rPr>
        <w:t xml:space="preserve"> is</w:t>
      </w:r>
      <w:r w:rsidRPr="00087E61">
        <w:rPr>
          <w:lang w:val="x-none" w:eastAsia="x-none"/>
        </w:rPr>
        <w:t xml:space="preserve"> shown in </w:t>
      </w:r>
      <w:r w:rsidRPr="00087E61">
        <w:rPr>
          <w:lang w:val="x-none" w:eastAsia="x-none"/>
        </w:rPr>
        <w:fldChar w:fldCharType="begin"/>
      </w:r>
      <w:r w:rsidRPr="00087E61">
        <w:rPr>
          <w:lang w:val="x-none" w:eastAsia="x-none"/>
        </w:rPr>
        <w:instrText xml:space="preserve"> REF _Ref40048045 \h </w:instrText>
      </w:r>
      <w:r w:rsidRPr="00087E61">
        <w:rPr>
          <w:lang w:val="x-none" w:eastAsia="x-none"/>
        </w:rPr>
      </w:r>
      <w:r w:rsidRPr="00087E61">
        <w:rPr>
          <w:lang w:val="x-none" w:eastAsia="x-none"/>
        </w:rPr>
        <w:fldChar w:fldCharType="separate"/>
      </w:r>
      <w:r w:rsidR="006015FC">
        <w:t xml:space="preserve">Figure </w:t>
      </w:r>
      <w:r w:rsidR="006015FC">
        <w:rPr>
          <w:noProof/>
        </w:rPr>
        <w:t>1</w:t>
      </w:r>
      <w:r w:rsidRPr="00087E61">
        <w:rPr>
          <w:lang w:val="x-none" w:eastAsia="x-none"/>
        </w:rPr>
        <w:fldChar w:fldCharType="end"/>
      </w:r>
      <w:r w:rsidRPr="00087E61">
        <w:rPr>
          <w:lang w:val="x-none" w:eastAsia="x-none"/>
        </w:rPr>
        <w:t>(a). Since UE always has data from serving cell to receive, UE has no other choice but optimize t</w:t>
      </w:r>
      <w:r w:rsidR="0012745D">
        <w:rPr>
          <w:lang w:val="x-none" w:eastAsia="x-none"/>
        </w:rPr>
        <w:t>h</w:t>
      </w:r>
      <w:r w:rsidRPr="00087E61">
        <w:rPr>
          <w:lang w:val="x-none" w:eastAsia="x-none"/>
        </w:rPr>
        <w:t>is FFT window timing with respect to its serving cell. Otherwise the PDSCH decoding performance is compromised. In this case</w:t>
      </w:r>
      <w:r>
        <w:rPr>
          <w:lang w:val="x-none" w:eastAsia="x-none"/>
        </w:rPr>
        <w:t xml:space="preserve">, the </w:t>
      </w:r>
      <w:r w:rsidR="00BC12CE">
        <w:rPr>
          <w:lang w:val="x-none" w:eastAsia="x-none"/>
        </w:rPr>
        <w:t xml:space="preserve">single </w:t>
      </w:r>
      <w:r>
        <w:rPr>
          <w:lang w:val="x-none" w:eastAsia="x-none"/>
        </w:rPr>
        <w:t>FFT window cannot perfectly cover the signal</w:t>
      </w:r>
      <w:r w:rsidR="00CC5EB5">
        <w:rPr>
          <w:lang w:val="x-none" w:eastAsia="x-none"/>
        </w:rPr>
        <w:t>s</w:t>
      </w:r>
      <w:r>
        <w:rPr>
          <w:lang w:val="x-none" w:eastAsia="x-none"/>
        </w:rPr>
        <w:t xml:space="preserve"> from </w:t>
      </w:r>
      <w:r w:rsidR="001039F6">
        <w:rPr>
          <w:lang w:val="x-none" w:eastAsia="x-none"/>
        </w:rPr>
        <w:t xml:space="preserve">all </w:t>
      </w:r>
      <w:r>
        <w:rPr>
          <w:lang w:val="x-none" w:eastAsia="x-none"/>
        </w:rPr>
        <w:t>neighboring cells</w:t>
      </w:r>
      <w:r w:rsidR="001039F6">
        <w:rPr>
          <w:lang w:val="x-none" w:eastAsia="x-none"/>
        </w:rPr>
        <w:t xml:space="preserve"> which comes earlier or later.</w:t>
      </w:r>
    </w:p>
    <w:p w14:paraId="64159316" w14:textId="60A6FA70" w:rsidR="008E2FC7" w:rsidRPr="00087E61" w:rsidRDefault="00087E61" w:rsidP="00757052">
      <w:pPr>
        <w:pStyle w:val="ListParagraph"/>
        <w:numPr>
          <w:ilvl w:val="0"/>
          <w:numId w:val="38"/>
        </w:numPr>
        <w:jc w:val="both"/>
        <w:rPr>
          <w:lang w:val="x-none" w:eastAsia="x-none"/>
        </w:rPr>
      </w:pPr>
      <w:r w:rsidRPr="00087E61">
        <w:rPr>
          <w:lang w:val="x-none" w:eastAsia="x-none"/>
        </w:rPr>
        <w:lastRenderedPageBreak/>
        <w:t xml:space="preserve">The example for an inter-frequency layer without serving cell is shown in </w:t>
      </w:r>
      <w:r w:rsidRPr="00087E61">
        <w:rPr>
          <w:lang w:val="x-none" w:eastAsia="x-none"/>
        </w:rPr>
        <w:fldChar w:fldCharType="begin"/>
      </w:r>
      <w:r w:rsidRPr="00087E61">
        <w:rPr>
          <w:lang w:val="x-none" w:eastAsia="x-none"/>
        </w:rPr>
        <w:instrText xml:space="preserve"> REF _Ref40048045 \h </w:instrText>
      </w:r>
      <w:r w:rsidRPr="00087E61">
        <w:rPr>
          <w:lang w:val="x-none" w:eastAsia="x-none"/>
        </w:rPr>
      </w:r>
      <w:r w:rsidRPr="00087E61">
        <w:rPr>
          <w:lang w:val="x-none" w:eastAsia="x-none"/>
        </w:rPr>
        <w:fldChar w:fldCharType="separate"/>
      </w:r>
      <w:r w:rsidR="006015FC">
        <w:t xml:space="preserve">Figure </w:t>
      </w:r>
      <w:r w:rsidR="006015FC">
        <w:rPr>
          <w:noProof/>
        </w:rPr>
        <w:t>1</w:t>
      </w:r>
      <w:r w:rsidRPr="00087E61">
        <w:rPr>
          <w:lang w:val="x-none" w:eastAsia="x-none"/>
        </w:rPr>
        <w:fldChar w:fldCharType="end"/>
      </w:r>
      <w:r w:rsidRPr="00087E61">
        <w:rPr>
          <w:lang w:val="x-none" w:eastAsia="x-none"/>
        </w:rPr>
        <w:t>(b). Since UE has to select one single FFT timing to performance measurement, e</w:t>
      </w:r>
      <w:r w:rsidR="001039F6">
        <w:rPr>
          <w:lang w:val="x-none" w:eastAsia="x-none"/>
        </w:rPr>
        <w:t>.</w:t>
      </w:r>
      <w:r w:rsidRPr="00087E61">
        <w:rPr>
          <w:lang w:val="x-none" w:eastAsia="x-none"/>
        </w:rPr>
        <w:t xml:space="preserve">g., align with the strongest neighboring cell. In this case, the </w:t>
      </w:r>
      <w:r w:rsidR="00075995">
        <w:rPr>
          <w:lang w:val="x-none" w:eastAsia="x-none"/>
        </w:rPr>
        <w:t xml:space="preserve">single </w:t>
      </w:r>
      <w:r w:rsidRPr="00087E61">
        <w:rPr>
          <w:lang w:val="x-none" w:eastAsia="x-none"/>
        </w:rPr>
        <w:t>FFT window cannot perfectly cover the signal</w:t>
      </w:r>
      <w:r w:rsidR="00CC5EB5">
        <w:rPr>
          <w:lang w:val="x-none" w:eastAsia="x-none"/>
        </w:rPr>
        <w:t>s</w:t>
      </w:r>
      <w:r w:rsidRPr="00087E61">
        <w:rPr>
          <w:lang w:val="x-none" w:eastAsia="x-none"/>
        </w:rPr>
        <w:t xml:space="preserve"> from </w:t>
      </w:r>
      <w:r w:rsidR="00CC5EB5">
        <w:rPr>
          <w:lang w:val="x-none" w:eastAsia="x-none"/>
        </w:rPr>
        <w:t xml:space="preserve">all </w:t>
      </w:r>
      <w:r w:rsidRPr="00087E61">
        <w:rPr>
          <w:lang w:val="x-none" w:eastAsia="x-none"/>
        </w:rPr>
        <w:t xml:space="preserve">neighboring cells. </w:t>
      </w:r>
    </w:p>
    <w:p w14:paraId="1D6F326A" w14:textId="77777777" w:rsidR="002B695F" w:rsidRDefault="002B695F" w:rsidP="002B695F">
      <w:pPr>
        <w:rPr>
          <w:lang w:eastAsia="x-none"/>
        </w:rPr>
      </w:pPr>
      <w:r>
        <w:rPr>
          <w:lang w:eastAsia="x-none"/>
        </w:rPr>
        <w:t>Based on above discussion we can see that Option 2 is not well aligned with the WID description. Therefore it is not preferred.</w:t>
      </w:r>
    </w:p>
    <w:p w14:paraId="2AB8A855" w14:textId="77777777" w:rsidR="008E2FC7" w:rsidRDefault="008E2FC7" w:rsidP="008E2FC7">
      <w:pPr>
        <w:jc w:val="both"/>
        <w:rPr>
          <w:lang w:val="x-none" w:eastAsia="x-none"/>
        </w:rPr>
      </w:pPr>
    </w:p>
    <w:p w14:paraId="0A058CBC" w14:textId="2EDA18B7" w:rsidR="008E2FC7" w:rsidRDefault="00087E61" w:rsidP="008E2FC7">
      <w:pPr>
        <w:jc w:val="both"/>
        <w:rPr>
          <w:lang w:val="x-none" w:eastAsia="x-none"/>
        </w:rPr>
      </w:pPr>
      <w:r w:rsidRPr="00087E61">
        <w:rPr>
          <w:noProof/>
        </w:rPr>
        <w:drawing>
          <wp:inline distT="0" distB="0" distL="0" distR="0" wp14:anchorId="6FC5399B" wp14:editId="6D8AF405">
            <wp:extent cx="6120765" cy="187991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879918"/>
                    </a:xfrm>
                    <a:prstGeom prst="rect">
                      <a:avLst/>
                    </a:prstGeom>
                    <a:noFill/>
                    <a:ln>
                      <a:noFill/>
                    </a:ln>
                  </pic:spPr>
                </pic:pic>
              </a:graphicData>
            </a:graphic>
          </wp:inline>
        </w:drawing>
      </w:r>
    </w:p>
    <w:p w14:paraId="22C3BDA7" w14:textId="551D4772" w:rsidR="00087E61" w:rsidRDefault="00087E61" w:rsidP="00087E61">
      <w:pPr>
        <w:pStyle w:val="Caption"/>
        <w:jc w:val="center"/>
      </w:pPr>
      <w:bookmarkStart w:id="1" w:name="_Ref40048045"/>
      <w:r>
        <w:t xml:space="preserve">Figure </w:t>
      </w:r>
      <w:r w:rsidR="001E72A4">
        <w:rPr>
          <w:noProof/>
        </w:rPr>
        <w:fldChar w:fldCharType="begin"/>
      </w:r>
      <w:r w:rsidR="001E72A4">
        <w:rPr>
          <w:noProof/>
        </w:rPr>
        <w:instrText xml:space="preserve"> SEQ Figure \* ARABIC </w:instrText>
      </w:r>
      <w:r w:rsidR="001E72A4">
        <w:rPr>
          <w:noProof/>
        </w:rPr>
        <w:fldChar w:fldCharType="separate"/>
      </w:r>
      <w:r w:rsidR="006015FC">
        <w:rPr>
          <w:noProof/>
        </w:rPr>
        <w:t>1</w:t>
      </w:r>
      <w:r w:rsidR="001E72A4">
        <w:rPr>
          <w:noProof/>
        </w:rPr>
        <w:fldChar w:fldCharType="end"/>
      </w:r>
      <w:bookmarkEnd w:id="1"/>
      <w:r>
        <w:t>. Two examples on how UE may determine its FFT window</w:t>
      </w:r>
    </w:p>
    <w:p w14:paraId="70DC357C" w14:textId="6A12E9EE" w:rsidR="00087E61" w:rsidRDefault="00C81DFC" w:rsidP="00C81DFC">
      <w:pPr>
        <w:pStyle w:val="Caption"/>
      </w:pPr>
      <w:bookmarkStart w:id="2" w:name="_Ref40049099"/>
      <w:r>
        <w:t xml:space="preserve">Observation </w:t>
      </w:r>
      <w:r w:rsidR="001E72A4">
        <w:rPr>
          <w:noProof/>
        </w:rPr>
        <w:fldChar w:fldCharType="begin"/>
      </w:r>
      <w:r w:rsidR="001E72A4">
        <w:rPr>
          <w:noProof/>
        </w:rPr>
        <w:instrText xml:space="preserve"> SEQ Observation \* ARABIC </w:instrText>
      </w:r>
      <w:r w:rsidR="001E72A4">
        <w:rPr>
          <w:noProof/>
        </w:rPr>
        <w:fldChar w:fldCharType="separate"/>
      </w:r>
      <w:r w:rsidR="006015FC">
        <w:rPr>
          <w:noProof/>
        </w:rPr>
        <w:t>1</w:t>
      </w:r>
      <w:r w:rsidR="001E72A4">
        <w:rPr>
          <w:noProof/>
        </w:rPr>
        <w:fldChar w:fldCharType="end"/>
      </w:r>
      <w:r>
        <w:t xml:space="preserve">: According to WID, UE is required to use single FFT </w:t>
      </w:r>
      <w:r w:rsidR="002A33C1">
        <w:t xml:space="preserve">window </w:t>
      </w:r>
      <w:r>
        <w:t>to measure all cells in one frequency layer.</w:t>
      </w:r>
      <w:bookmarkEnd w:id="2"/>
      <w:r w:rsidR="00F3562C">
        <w:t xml:space="preserve"> This single FFT window timing cannot be optimal for all neighboring cells.</w:t>
      </w:r>
    </w:p>
    <w:p w14:paraId="3AC60127" w14:textId="77777777" w:rsidR="00C81DFC" w:rsidRPr="00C81DFC" w:rsidRDefault="00C81DFC" w:rsidP="00C81DFC">
      <w:pPr>
        <w:rPr>
          <w:lang w:val="x-none" w:eastAsia="x-none"/>
        </w:rPr>
      </w:pPr>
    </w:p>
    <w:p w14:paraId="686845B8" w14:textId="638EB8AB" w:rsidR="009B5952" w:rsidRDefault="00087E61" w:rsidP="008E2FC7">
      <w:pPr>
        <w:jc w:val="both"/>
        <w:rPr>
          <w:lang w:val="x-none" w:eastAsia="x-none"/>
        </w:rPr>
      </w:pPr>
      <w:r>
        <w:rPr>
          <w:lang w:val="x-none" w:eastAsia="x-none"/>
        </w:rPr>
        <w:t>This a real issue UE needs to face</w:t>
      </w:r>
      <w:r w:rsidR="009B5952">
        <w:rPr>
          <w:lang w:val="x-none" w:eastAsia="x-none"/>
        </w:rPr>
        <w:t>.</w:t>
      </w:r>
      <w:r w:rsidR="008E2FC7">
        <w:rPr>
          <w:lang w:val="x-none" w:eastAsia="x-none"/>
        </w:rPr>
        <w:t xml:space="preserve"> One </w:t>
      </w:r>
      <w:r>
        <w:rPr>
          <w:lang w:val="x-none" w:eastAsia="x-none"/>
        </w:rPr>
        <w:t>evidence</w:t>
      </w:r>
      <w:r w:rsidR="008E2FC7">
        <w:rPr>
          <w:lang w:val="x-none" w:eastAsia="x-none"/>
        </w:rPr>
        <w:t xml:space="preserve"> is to compare the 3us cell phase synchronization requirement with the CP length of different numerologies (</w:t>
      </w:r>
      <w:r w:rsidR="008E2FC7">
        <w:rPr>
          <w:lang w:val="x-none" w:eastAsia="x-none"/>
        </w:rPr>
        <w:fldChar w:fldCharType="begin"/>
      </w:r>
      <w:r w:rsidR="008E2FC7">
        <w:rPr>
          <w:lang w:val="x-none" w:eastAsia="x-none"/>
        </w:rPr>
        <w:instrText xml:space="preserve"> REF _Ref40047350 \h </w:instrText>
      </w:r>
      <w:r w:rsidR="008E2FC7">
        <w:rPr>
          <w:lang w:val="x-none" w:eastAsia="x-none"/>
        </w:rPr>
      </w:r>
      <w:r w:rsidR="008E2FC7">
        <w:rPr>
          <w:lang w:val="x-none" w:eastAsia="x-none"/>
        </w:rPr>
        <w:fldChar w:fldCharType="separate"/>
      </w:r>
      <w:r w:rsidR="006015FC">
        <w:t xml:space="preserve">Table </w:t>
      </w:r>
      <w:r w:rsidR="006015FC">
        <w:rPr>
          <w:noProof/>
        </w:rPr>
        <w:t>1</w:t>
      </w:r>
      <w:r w:rsidR="008E2FC7">
        <w:rPr>
          <w:lang w:val="x-none" w:eastAsia="x-none"/>
        </w:rPr>
        <w:fldChar w:fldCharType="end"/>
      </w:r>
      <w:r w:rsidR="008E2FC7">
        <w:rPr>
          <w:lang w:val="x-none" w:eastAsia="x-none"/>
        </w:rPr>
        <w:t xml:space="preserve">). We can see that even without considering the difference in propagation delay, the CP lengths of </w:t>
      </w:r>
      <w:r w:rsidR="00C81DFC">
        <w:rPr>
          <w:lang w:val="x-none" w:eastAsia="x-none"/>
        </w:rPr>
        <w:t xml:space="preserve">SCS </w:t>
      </w:r>
      <w:r w:rsidR="008E2FC7">
        <w:rPr>
          <w:lang w:val="x-none" w:eastAsia="x-none"/>
        </w:rPr>
        <w:t>30KHz, 60KHz and 120KHz may already be insufficient to cover the timing difference between signals from 2 Cells.</w:t>
      </w:r>
    </w:p>
    <w:p w14:paraId="4C99C903" w14:textId="18705661" w:rsidR="009B5952" w:rsidRDefault="009B5952" w:rsidP="009B5952">
      <w:pPr>
        <w:pStyle w:val="Caption"/>
        <w:jc w:val="center"/>
      </w:pPr>
      <w:bookmarkStart w:id="3" w:name="_Ref40047350"/>
      <w:r>
        <w:t xml:space="preserve">Table </w:t>
      </w:r>
      <w:r w:rsidR="001E72A4">
        <w:rPr>
          <w:noProof/>
        </w:rPr>
        <w:fldChar w:fldCharType="begin"/>
      </w:r>
      <w:r w:rsidR="001E72A4">
        <w:rPr>
          <w:noProof/>
        </w:rPr>
        <w:instrText xml:space="preserve"> SEQ Table \* ARABIC </w:instrText>
      </w:r>
      <w:r w:rsidR="001E72A4">
        <w:rPr>
          <w:noProof/>
        </w:rPr>
        <w:fldChar w:fldCharType="separate"/>
      </w:r>
      <w:r w:rsidR="006015FC">
        <w:rPr>
          <w:noProof/>
        </w:rPr>
        <w:t>1</w:t>
      </w:r>
      <w:r w:rsidR="001E72A4">
        <w:rPr>
          <w:noProof/>
        </w:rPr>
        <w:fldChar w:fldCharType="end"/>
      </w:r>
      <w:bookmarkEnd w:id="3"/>
      <w:r>
        <w:t xml:space="preserve"> </w:t>
      </w:r>
      <w:r w:rsidR="008E2FC7">
        <w:t>symbol duration for different SCS</w:t>
      </w:r>
    </w:p>
    <w:tbl>
      <w:tblPr>
        <w:tblW w:w="6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04"/>
        <w:gridCol w:w="1304"/>
        <w:gridCol w:w="1304"/>
        <w:gridCol w:w="1304"/>
        <w:gridCol w:w="1304"/>
      </w:tblGrid>
      <w:tr w:rsidR="008E2FC7" w:rsidRPr="009B5952" w14:paraId="4A1BF8D3" w14:textId="77777777" w:rsidTr="008E2FC7">
        <w:trPr>
          <w:trHeight w:val="372"/>
          <w:jc w:val="center"/>
        </w:trPr>
        <w:tc>
          <w:tcPr>
            <w:tcW w:w="1304" w:type="dxa"/>
            <w:shd w:val="clear" w:color="auto" w:fill="auto"/>
            <w:vAlign w:val="center"/>
            <w:hideMark/>
          </w:tcPr>
          <w:p w14:paraId="0049A351" w14:textId="617DF6D1" w:rsidR="009B5952" w:rsidRPr="009B5952" w:rsidRDefault="009B5952" w:rsidP="009B5952">
            <w:pPr>
              <w:spacing w:after="0"/>
              <w:jc w:val="center"/>
              <w:rPr>
                <w:rFonts w:eastAsia="新細明體" w:cs="新細明體"/>
                <w:color w:val="000000"/>
                <w:szCs w:val="28"/>
              </w:rPr>
            </w:pPr>
            <w:r w:rsidRPr="009B5952">
              <w:rPr>
                <w:rFonts w:eastAsia="新細明體" w:cs="新細明體"/>
                <w:color w:val="000000"/>
                <w:szCs w:val="28"/>
              </w:rPr>
              <w:t>SCS</w:t>
            </w:r>
            <w:r w:rsidR="008E2FC7">
              <w:rPr>
                <w:rFonts w:eastAsia="新細明體" w:cs="新細明體"/>
                <w:color w:val="000000"/>
                <w:szCs w:val="28"/>
              </w:rPr>
              <w:t xml:space="preserve"> (KHz)</w:t>
            </w:r>
          </w:p>
        </w:tc>
        <w:tc>
          <w:tcPr>
            <w:tcW w:w="1304" w:type="dxa"/>
            <w:shd w:val="clear" w:color="auto" w:fill="auto"/>
            <w:vAlign w:val="center"/>
            <w:hideMark/>
          </w:tcPr>
          <w:p w14:paraId="240B1B9E" w14:textId="77777777" w:rsidR="009B5952" w:rsidRPr="009B5952" w:rsidRDefault="009B5952" w:rsidP="009B5952">
            <w:pPr>
              <w:spacing w:after="0"/>
              <w:jc w:val="center"/>
              <w:rPr>
                <w:rFonts w:eastAsia="新細明體" w:cs="新細明體"/>
                <w:color w:val="000000"/>
                <w:szCs w:val="28"/>
              </w:rPr>
            </w:pPr>
            <w:r w:rsidRPr="009B5952">
              <w:rPr>
                <w:rFonts w:eastAsia="新細明體" w:cs="新細明體"/>
                <w:color w:val="000000"/>
                <w:szCs w:val="28"/>
              </w:rPr>
              <w:t>15</w:t>
            </w:r>
          </w:p>
        </w:tc>
        <w:tc>
          <w:tcPr>
            <w:tcW w:w="1304" w:type="dxa"/>
            <w:shd w:val="clear" w:color="auto" w:fill="auto"/>
            <w:vAlign w:val="center"/>
            <w:hideMark/>
          </w:tcPr>
          <w:p w14:paraId="592F30EC" w14:textId="77777777" w:rsidR="009B5952" w:rsidRPr="009B5952" w:rsidRDefault="009B5952" w:rsidP="009B5952">
            <w:pPr>
              <w:spacing w:after="0"/>
              <w:jc w:val="center"/>
              <w:rPr>
                <w:rFonts w:eastAsia="新細明體" w:cs="新細明體"/>
                <w:color w:val="000000"/>
                <w:szCs w:val="28"/>
              </w:rPr>
            </w:pPr>
            <w:r w:rsidRPr="009B5952">
              <w:rPr>
                <w:rFonts w:eastAsia="新細明體" w:cs="新細明體"/>
                <w:color w:val="000000"/>
                <w:szCs w:val="28"/>
              </w:rPr>
              <w:t>30</w:t>
            </w:r>
          </w:p>
        </w:tc>
        <w:tc>
          <w:tcPr>
            <w:tcW w:w="1304" w:type="dxa"/>
            <w:shd w:val="clear" w:color="auto" w:fill="auto"/>
            <w:vAlign w:val="center"/>
            <w:hideMark/>
          </w:tcPr>
          <w:p w14:paraId="0274C2A0" w14:textId="77777777" w:rsidR="009B5952" w:rsidRPr="009B5952" w:rsidRDefault="009B5952" w:rsidP="009B5952">
            <w:pPr>
              <w:spacing w:after="0"/>
              <w:jc w:val="center"/>
              <w:rPr>
                <w:rFonts w:eastAsia="新細明體" w:cs="新細明體"/>
                <w:color w:val="000000"/>
                <w:szCs w:val="28"/>
              </w:rPr>
            </w:pPr>
            <w:r w:rsidRPr="009B5952">
              <w:rPr>
                <w:rFonts w:eastAsia="新細明體" w:cs="新細明體"/>
                <w:color w:val="000000"/>
                <w:szCs w:val="28"/>
              </w:rPr>
              <w:t>60</w:t>
            </w:r>
          </w:p>
        </w:tc>
        <w:tc>
          <w:tcPr>
            <w:tcW w:w="1304" w:type="dxa"/>
            <w:shd w:val="clear" w:color="auto" w:fill="auto"/>
            <w:vAlign w:val="center"/>
            <w:hideMark/>
          </w:tcPr>
          <w:p w14:paraId="545B3563" w14:textId="77777777" w:rsidR="009B5952" w:rsidRPr="009B5952" w:rsidRDefault="009B5952" w:rsidP="009B5952">
            <w:pPr>
              <w:spacing w:after="0"/>
              <w:jc w:val="center"/>
              <w:rPr>
                <w:rFonts w:eastAsia="新細明體" w:cs="新細明體"/>
                <w:color w:val="000000"/>
                <w:szCs w:val="28"/>
              </w:rPr>
            </w:pPr>
            <w:r w:rsidRPr="009B5952">
              <w:rPr>
                <w:rFonts w:eastAsia="新細明體" w:cs="新細明體"/>
                <w:color w:val="000000"/>
                <w:szCs w:val="28"/>
              </w:rPr>
              <w:t>120</w:t>
            </w:r>
          </w:p>
        </w:tc>
      </w:tr>
      <w:tr w:rsidR="008E2FC7" w:rsidRPr="009B5952" w14:paraId="509D2C88" w14:textId="77777777" w:rsidTr="008E2FC7">
        <w:trPr>
          <w:trHeight w:val="372"/>
          <w:jc w:val="center"/>
        </w:trPr>
        <w:tc>
          <w:tcPr>
            <w:tcW w:w="1304" w:type="dxa"/>
            <w:shd w:val="clear" w:color="auto" w:fill="auto"/>
            <w:vAlign w:val="center"/>
          </w:tcPr>
          <w:p w14:paraId="0882C31E" w14:textId="61326779" w:rsidR="008E2FC7" w:rsidRPr="009B5952" w:rsidRDefault="008E2FC7" w:rsidP="009B5952">
            <w:pPr>
              <w:spacing w:after="0"/>
              <w:jc w:val="center"/>
              <w:rPr>
                <w:rFonts w:eastAsia="新細明體" w:cs="新細明體"/>
                <w:color w:val="000000"/>
                <w:szCs w:val="28"/>
              </w:rPr>
            </w:pPr>
            <w:r>
              <w:rPr>
                <w:rFonts w:eastAsia="新細明體" w:cs="新細明體"/>
                <w:color w:val="000000"/>
                <w:szCs w:val="28"/>
              </w:rPr>
              <w:t>CP length (us)</w:t>
            </w:r>
          </w:p>
        </w:tc>
        <w:tc>
          <w:tcPr>
            <w:tcW w:w="1304" w:type="dxa"/>
            <w:shd w:val="clear" w:color="auto" w:fill="auto"/>
            <w:vAlign w:val="center"/>
          </w:tcPr>
          <w:p w14:paraId="1B8408A1" w14:textId="65B8678B" w:rsidR="008E2FC7" w:rsidRPr="009B5952" w:rsidRDefault="008E2FC7" w:rsidP="009B5952">
            <w:pPr>
              <w:spacing w:after="0"/>
              <w:jc w:val="center"/>
              <w:rPr>
                <w:rFonts w:eastAsia="新細明體" w:cs="新細明體"/>
                <w:color w:val="000000"/>
                <w:szCs w:val="28"/>
              </w:rPr>
            </w:pPr>
            <w:r>
              <w:rPr>
                <w:rFonts w:eastAsia="新細明體" w:cs="新細明體"/>
                <w:color w:val="000000"/>
                <w:szCs w:val="28"/>
              </w:rPr>
              <w:t>4.7</w:t>
            </w:r>
          </w:p>
        </w:tc>
        <w:tc>
          <w:tcPr>
            <w:tcW w:w="1304" w:type="dxa"/>
            <w:shd w:val="clear" w:color="auto" w:fill="auto"/>
            <w:vAlign w:val="center"/>
          </w:tcPr>
          <w:p w14:paraId="334BBAD7" w14:textId="6E69307C" w:rsidR="008E2FC7" w:rsidRPr="00F3562C" w:rsidRDefault="008E2FC7" w:rsidP="009B5952">
            <w:pPr>
              <w:spacing w:after="0"/>
              <w:jc w:val="center"/>
              <w:rPr>
                <w:rFonts w:eastAsia="新細明體" w:cs="新細明體"/>
                <w:color w:val="FF0000"/>
                <w:szCs w:val="28"/>
              </w:rPr>
            </w:pPr>
            <w:r w:rsidRPr="00F3562C">
              <w:rPr>
                <w:rFonts w:eastAsia="新細明體" w:cs="新細明體"/>
                <w:color w:val="FF0000"/>
                <w:szCs w:val="28"/>
              </w:rPr>
              <w:t>2.35</w:t>
            </w:r>
          </w:p>
        </w:tc>
        <w:tc>
          <w:tcPr>
            <w:tcW w:w="1304" w:type="dxa"/>
            <w:shd w:val="clear" w:color="auto" w:fill="auto"/>
            <w:vAlign w:val="center"/>
          </w:tcPr>
          <w:p w14:paraId="7B4BA657" w14:textId="547601F4" w:rsidR="008E2FC7" w:rsidRPr="00F3562C" w:rsidRDefault="008E2FC7" w:rsidP="009B5952">
            <w:pPr>
              <w:spacing w:after="0"/>
              <w:jc w:val="center"/>
              <w:rPr>
                <w:rFonts w:eastAsia="新細明體" w:cs="新細明體"/>
                <w:color w:val="FF0000"/>
                <w:szCs w:val="28"/>
              </w:rPr>
            </w:pPr>
            <w:r w:rsidRPr="00F3562C">
              <w:rPr>
                <w:rFonts w:eastAsia="新細明體" w:cs="新細明體"/>
                <w:color w:val="FF0000"/>
                <w:szCs w:val="28"/>
              </w:rPr>
              <w:t>1.18</w:t>
            </w:r>
          </w:p>
        </w:tc>
        <w:tc>
          <w:tcPr>
            <w:tcW w:w="1304" w:type="dxa"/>
            <w:shd w:val="clear" w:color="auto" w:fill="auto"/>
            <w:vAlign w:val="center"/>
          </w:tcPr>
          <w:p w14:paraId="20394873" w14:textId="4E35BFB0" w:rsidR="008E2FC7" w:rsidRPr="00F3562C" w:rsidRDefault="008E2FC7" w:rsidP="009B5952">
            <w:pPr>
              <w:spacing w:after="0"/>
              <w:jc w:val="center"/>
              <w:rPr>
                <w:rFonts w:eastAsia="新細明體" w:cs="新細明體"/>
                <w:color w:val="FF0000"/>
                <w:szCs w:val="28"/>
              </w:rPr>
            </w:pPr>
            <w:r w:rsidRPr="00F3562C">
              <w:rPr>
                <w:rFonts w:eastAsia="新細明體" w:cs="新細明體"/>
                <w:color w:val="FF0000"/>
                <w:szCs w:val="28"/>
              </w:rPr>
              <w:t>0.59</w:t>
            </w:r>
          </w:p>
        </w:tc>
      </w:tr>
    </w:tbl>
    <w:p w14:paraId="763B2947" w14:textId="77777777" w:rsidR="00087E61" w:rsidRDefault="00087E61" w:rsidP="009B5952">
      <w:pPr>
        <w:rPr>
          <w:lang w:eastAsia="x-none"/>
        </w:rPr>
      </w:pPr>
    </w:p>
    <w:p w14:paraId="2C216C31" w14:textId="258BC9C6" w:rsidR="00C81DFC" w:rsidRDefault="00C81DFC" w:rsidP="00783B25">
      <w:pPr>
        <w:pStyle w:val="Caption"/>
        <w:jc w:val="both"/>
      </w:pPr>
      <w:bookmarkStart w:id="4" w:name="_Ref40049101"/>
      <w:r>
        <w:t xml:space="preserve">Observation </w:t>
      </w:r>
      <w:r w:rsidR="005619F7">
        <w:rPr>
          <w:noProof/>
        </w:rPr>
        <w:fldChar w:fldCharType="begin"/>
      </w:r>
      <w:r w:rsidR="005619F7">
        <w:rPr>
          <w:noProof/>
        </w:rPr>
        <w:instrText xml:space="preserve"> SEQ Observation \* ARABIC </w:instrText>
      </w:r>
      <w:r w:rsidR="005619F7">
        <w:rPr>
          <w:noProof/>
        </w:rPr>
        <w:fldChar w:fldCharType="separate"/>
      </w:r>
      <w:r w:rsidR="006015FC">
        <w:rPr>
          <w:noProof/>
        </w:rPr>
        <w:t>2</w:t>
      </w:r>
      <w:r w:rsidR="005619F7">
        <w:rPr>
          <w:noProof/>
        </w:rPr>
        <w:fldChar w:fldCharType="end"/>
      </w:r>
      <w:r>
        <w:t>: The cell phase synchronization error is already larger than the CP length of SCS 30KHz, 60KHz and 120KHz, even without considering the difference due to propagation delay.</w:t>
      </w:r>
      <w:bookmarkEnd w:id="4"/>
    </w:p>
    <w:p w14:paraId="77BDF05F" w14:textId="77777777" w:rsidR="002B695F" w:rsidRPr="00087E61" w:rsidRDefault="002B695F" w:rsidP="009B5952">
      <w:pPr>
        <w:rPr>
          <w:lang w:eastAsia="x-none"/>
        </w:rPr>
      </w:pPr>
    </w:p>
    <w:p w14:paraId="6DF87258" w14:textId="59177457" w:rsidR="00F70C09" w:rsidRDefault="00087E61" w:rsidP="00C81DFC">
      <w:pPr>
        <w:spacing w:after="0"/>
        <w:jc w:val="both"/>
        <w:rPr>
          <w:lang w:eastAsia="x-none"/>
        </w:rPr>
      </w:pPr>
      <w:r>
        <w:rPr>
          <w:lang w:eastAsia="x-none"/>
        </w:rPr>
        <w:t xml:space="preserve">Given that the cell deployment is already determined in R15, we believe that UE </w:t>
      </w:r>
      <w:r w:rsidR="00C81DFC">
        <w:rPr>
          <w:lang w:eastAsia="x-none"/>
        </w:rPr>
        <w:t>will always</w:t>
      </w:r>
      <w:r>
        <w:rPr>
          <w:lang w:eastAsia="x-none"/>
        </w:rPr>
        <w:t xml:space="preserve"> receive some CSI-RS of which the timing difference to UE’s serving cell is larger than CP/2. </w:t>
      </w:r>
      <w:r w:rsidR="00C81DFC">
        <w:rPr>
          <w:lang w:eastAsia="x-none"/>
        </w:rPr>
        <w:t xml:space="preserve">We do not think it makes much sense to </w:t>
      </w:r>
      <w:r w:rsidR="00783B25">
        <w:rPr>
          <w:lang w:eastAsia="x-none"/>
        </w:rPr>
        <w:t xml:space="preserve">only consider a small </w:t>
      </w:r>
      <w:r w:rsidR="00C81DFC">
        <w:rPr>
          <w:lang w:eastAsia="x-none"/>
        </w:rPr>
        <w:t xml:space="preserve">timing difference </w:t>
      </w:r>
      <w:r w:rsidR="00783B25">
        <w:rPr>
          <w:lang w:eastAsia="x-none"/>
        </w:rPr>
        <w:t xml:space="preserve">in </w:t>
      </w:r>
      <w:r w:rsidR="002B695F">
        <w:rPr>
          <w:lang w:eastAsia="x-none"/>
        </w:rPr>
        <w:t>the requirement</w:t>
      </w:r>
      <w:r w:rsidR="00C81DFC">
        <w:rPr>
          <w:lang w:eastAsia="x-none"/>
        </w:rPr>
        <w:t xml:space="preserve"> because the inter-gNB distance and the cell phase synchronization requirement will not be further reduced due to the introduction of CSI-RS for L3 measurement. </w:t>
      </w:r>
      <w:r w:rsidR="002B695F">
        <w:rPr>
          <w:lang w:eastAsia="x-none"/>
        </w:rPr>
        <w:t>Therefore, Option 4 is also not preferred.</w:t>
      </w:r>
    </w:p>
    <w:p w14:paraId="7E0C3C5A" w14:textId="77777777" w:rsidR="00F70C09" w:rsidRDefault="00F70C09" w:rsidP="002B695F">
      <w:pPr>
        <w:pStyle w:val="Caption"/>
        <w:jc w:val="both"/>
      </w:pPr>
      <w:bookmarkStart w:id="5" w:name="_Ref40049103"/>
      <w:r>
        <w:t xml:space="preserve">Observation </w:t>
      </w:r>
      <w:r w:rsidR="005619F7">
        <w:rPr>
          <w:noProof/>
        </w:rPr>
        <w:fldChar w:fldCharType="begin"/>
      </w:r>
      <w:r w:rsidR="005619F7">
        <w:rPr>
          <w:noProof/>
        </w:rPr>
        <w:instrText xml:space="preserve"> SEQ Observation \* ARABIC </w:instrText>
      </w:r>
      <w:r w:rsidR="005619F7">
        <w:rPr>
          <w:noProof/>
        </w:rPr>
        <w:fldChar w:fldCharType="separate"/>
      </w:r>
      <w:r w:rsidR="006015FC">
        <w:rPr>
          <w:noProof/>
        </w:rPr>
        <w:t>3</w:t>
      </w:r>
      <w:r w:rsidR="005619F7">
        <w:rPr>
          <w:noProof/>
        </w:rPr>
        <w:fldChar w:fldCharType="end"/>
      </w:r>
      <w:r>
        <w:t>: Inter-gNB distance and the cell phase synchronization requirement were determined in R15 and will not be further reduced due to the introduction of CSI-RS for L3 measurement.</w:t>
      </w:r>
      <w:bookmarkEnd w:id="5"/>
    </w:p>
    <w:p w14:paraId="75E3715C" w14:textId="77777777" w:rsidR="00A02A92" w:rsidRDefault="00A02A92" w:rsidP="00A02A92">
      <w:pPr>
        <w:jc w:val="both"/>
        <w:rPr>
          <w:lang w:val="x-none" w:eastAsia="x-none"/>
        </w:rPr>
      </w:pPr>
    </w:p>
    <w:p w14:paraId="2B96C712" w14:textId="77777777" w:rsidR="00A02A92" w:rsidRDefault="00A02A92" w:rsidP="00A02A92">
      <w:pPr>
        <w:jc w:val="both"/>
        <w:rPr>
          <w:lang w:val="x-none" w:eastAsia="x-none"/>
        </w:rPr>
      </w:pPr>
      <w:r>
        <w:rPr>
          <w:lang w:val="x-none" w:eastAsia="x-none"/>
        </w:rPr>
        <w:t xml:space="preserve">Regarding Option 3 to introduce the UE capability, we do not think it is necessary in Rel-16. How network can leverage this UE capability is not clear to us. The receive timing difference is only visible at UE side, not </w:t>
      </w:r>
      <w:r>
        <w:rPr>
          <w:lang w:val="x-none" w:eastAsia="x-none"/>
        </w:rPr>
        <w:lastRenderedPageBreak/>
        <w:t xml:space="preserve">network side. Therefore, network has no knowledge about which measurement report is more reliable than the others. From the UE side, it is also not clear on how many FFT engines are enough to guarantee acceptable performance for every scenario. For an example, One FFT engine can only guarantee the measurement accuracy for signals with timing difference roughly smaller than CP/2. </w:t>
      </w:r>
    </w:p>
    <w:p w14:paraId="525FB642" w14:textId="77777777" w:rsidR="00A02A92" w:rsidRDefault="00A02A92" w:rsidP="00A02A92">
      <w:pPr>
        <w:pStyle w:val="ListParagraph"/>
        <w:numPr>
          <w:ilvl w:val="0"/>
          <w:numId w:val="40"/>
        </w:numPr>
        <w:jc w:val="both"/>
        <w:rPr>
          <w:lang w:val="x-none" w:eastAsia="x-none"/>
        </w:rPr>
      </w:pPr>
      <w:r w:rsidRPr="00A02A92">
        <w:rPr>
          <w:lang w:val="x-none" w:eastAsia="x-none"/>
        </w:rPr>
        <w:t xml:space="preserve">If UE wants to guarantee no performance loss due to timing misalignment, UE has to implement many engines to cover every corner cases. As we know, the FFT engine is one of the most expensive module in CSI-RS based L3 measurement. The cost of this kind of UE will be unacceptably high. </w:t>
      </w:r>
    </w:p>
    <w:p w14:paraId="3CDFEF13" w14:textId="77777777" w:rsidR="00A02A92" w:rsidRPr="00A02A92" w:rsidRDefault="00A02A92" w:rsidP="00A02A92">
      <w:pPr>
        <w:pStyle w:val="ListParagraph"/>
        <w:numPr>
          <w:ilvl w:val="0"/>
          <w:numId w:val="40"/>
        </w:numPr>
        <w:jc w:val="both"/>
        <w:rPr>
          <w:lang w:val="x-none" w:eastAsia="x-none"/>
        </w:rPr>
      </w:pPr>
      <w:r>
        <w:rPr>
          <w:lang w:val="x-none" w:eastAsia="x-none"/>
        </w:rPr>
        <w:t>I</w:t>
      </w:r>
      <w:r w:rsidRPr="00A02A92">
        <w:rPr>
          <w:lang w:val="x-none" w:eastAsia="x-none"/>
        </w:rPr>
        <w:t>f UE only implements 2 or 3 FFT engines, then there are still chance</w:t>
      </w:r>
      <w:r>
        <w:rPr>
          <w:lang w:val="x-none" w:eastAsia="x-none"/>
        </w:rPr>
        <w:t>s</w:t>
      </w:r>
      <w:r w:rsidRPr="00A02A92">
        <w:rPr>
          <w:lang w:val="x-none" w:eastAsia="x-none"/>
        </w:rPr>
        <w:t xml:space="preserve"> that a CSI-RS is coming at the a timing that none of the FFT engine can well cover it. In this case, </w:t>
      </w:r>
      <w:r>
        <w:rPr>
          <w:lang w:val="x-none" w:eastAsia="x-none"/>
        </w:rPr>
        <w:t>this capability still cannot avoid UE to report CSI-RS with degraded performance. Different accuracy requirements as suggested in Option 1 are still needed.</w:t>
      </w:r>
      <w:r w:rsidRPr="00A02A92">
        <w:rPr>
          <w:lang w:val="x-none" w:eastAsia="x-none"/>
        </w:rPr>
        <w:t xml:space="preserve"> </w:t>
      </w:r>
    </w:p>
    <w:p w14:paraId="300D931F" w14:textId="603E9D1E" w:rsidR="00CC0AC4" w:rsidRDefault="00CC0AC4" w:rsidP="00CC0AC4">
      <w:pPr>
        <w:pStyle w:val="Caption"/>
        <w:jc w:val="both"/>
      </w:pPr>
      <w:bookmarkStart w:id="6" w:name="_Ref47442680"/>
      <w:r>
        <w:t xml:space="preserve">Observation </w:t>
      </w:r>
      <w:r>
        <w:fldChar w:fldCharType="begin"/>
      </w:r>
      <w:r>
        <w:instrText xml:space="preserve"> SEQ Observation \* ARABIC </w:instrText>
      </w:r>
      <w:r>
        <w:fldChar w:fldCharType="separate"/>
      </w:r>
      <w:r w:rsidR="006015FC">
        <w:rPr>
          <w:noProof/>
        </w:rPr>
        <w:t>4</w:t>
      </w:r>
      <w:r>
        <w:fldChar w:fldCharType="end"/>
      </w:r>
      <w:r>
        <w:t xml:space="preserve">: </w:t>
      </w:r>
      <w:r w:rsidRPr="00CC0AC4">
        <w:t>The receive timing difference is only visible at UE side</w:t>
      </w:r>
      <w:r>
        <w:t>.</w:t>
      </w:r>
      <w:r w:rsidRPr="00CC0AC4">
        <w:t xml:space="preserve"> </w:t>
      </w:r>
      <w:r>
        <w:t>N</w:t>
      </w:r>
      <w:r w:rsidRPr="00CC0AC4">
        <w:t>etwork has no knowledge about which measurement report is more reliable than the others</w:t>
      </w:r>
      <w:bookmarkEnd w:id="6"/>
    </w:p>
    <w:p w14:paraId="2D401B5A" w14:textId="4D62A0AE" w:rsidR="002B695F" w:rsidRDefault="00A02A92" w:rsidP="00CC0AC4">
      <w:pPr>
        <w:pStyle w:val="Caption"/>
        <w:jc w:val="both"/>
      </w:pPr>
      <w:bookmarkStart w:id="7" w:name="_Ref47442681"/>
      <w:r>
        <w:t xml:space="preserve">Observation </w:t>
      </w:r>
      <w:r w:rsidR="008C2A51">
        <w:rPr>
          <w:noProof/>
        </w:rPr>
        <w:fldChar w:fldCharType="begin"/>
      </w:r>
      <w:r w:rsidR="008C2A51">
        <w:rPr>
          <w:noProof/>
        </w:rPr>
        <w:instrText xml:space="preserve"> SEQ Observation \* ARABIC </w:instrText>
      </w:r>
      <w:r w:rsidR="008C2A51">
        <w:rPr>
          <w:noProof/>
        </w:rPr>
        <w:fldChar w:fldCharType="separate"/>
      </w:r>
      <w:r w:rsidR="006015FC">
        <w:rPr>
          <w:noProof/>
        </w:rPr>
        <w:t>5</w:t>
      </w:r>
      <w:r w:rsidR="008C2A51">
        <w:rPr>
          <w:noProof/>
        </w:rPr>
        <w:fldChar w:fldCharType="end"/>
      </w:r>
      <w:r>
        <w:t xml:space="preserve">: Even with the new UE capability introduced, </w:t>
      </w:r>
      <w:r w:rsidR="00CC0AC4">
        <w:t>practical UE implementation with limited number of FFT engines still need to handle the measurement on the CSI-RS signal with misaligned receive timing.</w:t>
      </w:r>
      <w:bookmarkEnd w:id="7"/>
    </w:p>
    <w:p w14:paraId="3180BEE0" w14:textId="77777777" w:rsidR="00A02A92" w:rsidRDefault="00A02A92" w:rsidP="00C81DFC">
      <w:pPr>
        <w:spacing w:after="0"/>
        <w:jc w:val="both"/>
        <w:rPr>
          <w:lang w:val="x-none" w:eastAsia="x-none"/>
        </w:rPr>
      </w:pPr>
    </w:p>
    <w:p w14:paraId="0F660D43" w14:textId="77777777" w:rsidR="002B695F" w:rsidRPr="00F70C09" w:rsidRDefault="002B695F" w:rsidP="00C81DFC">
      <w:pPr>
        <w:spacing w:after="0"/>
        <w:jc w:val="both"/>
        <w:rPr>
          <w:lang w:val="x-none" w:eastAsia="x-none"/>
        </w:rPr>
      </w:pPr>
    </w:p>
    <w:p w14:paraId="63FE7D48" w14:textId="11FF6B52" w:rsidR="00087E61" w:rsidRDefault="00C81DFC" w:rsidP="00C81DFC">
      <w:pPr>
        <w:spacing w:after="0"/>
        <w:jc w:val="both"/>
        <w:rPr>
          <w:lang w:eastAsia="x-none"/>
        </w:rPr>
      </w:pPr>
      <w:r>
        <w:rPr>
          <w:lang w:eastAsia="x-none"/>
        </w:rPr>
        <w:t>A more pragmatic way is to address this issue in the accuracy requirement</w:t>
      </w:r>
      <w:r w:rsidR="002B695F">
        <w:rPr>
          <w:lang w:eastAsia="x-none"/>
        </w:rPr>
        <w:t xml:space="preserve"> (Option 1)</w:t>
      </w:r>
      <w:r>
        <w:rPr>
          <w:lang w:eastAsia="x-none"/>
        </w:rPr>
        <w:t xml:space="preserve">. RAN4 can </w:t>
      </w:r>
      <w:r w:rsidR="00087E61">
        <w:rPr>
          <w:lang w:eastAsia="x-none"/>
        </w:rPr>
        <w:t xml:space="preserve">investigate how large the degradation would be and discuss whether to specify multiple requirements for those CSI-RS with </w:t>
      </w:r>
      <w:r w:rsidR="002B695F">
        <w:rPr>
          <w:lang w:eastAsia="x-none"/>
        </w:rPr>
        <w:t>different</w:t>
      </w:r>
      <w:r w:rsidR="00087E61">
        <w:rPr>
          <w:lang w:eastAsia="x-none"/>
        </w:rPr>
        <w:t xml:space="preserve"> receive timing difference to </w:t>
      </w:r>
      <w:r>
        <w:rPr>
          <w:lang w:eastAsia="x-none"/>
        </w:rPr>
        <w:t>UE’s FFT timing</w:t>
      </w:r>
      <w:r w:rsidR="00087E61">
        <w:rPr>
          <w:lang w:eastAsia="x-none"/>
        </w:rPr>
        <w:t xml:space="preserve">. It is still FFS at this moment that how many </w:t>
      </w:r>
      <w:r w:rsidR="00F70C09">
        <w:rPr>
          <w:lang w:eastAsia="x-none"/>
        </w:rPr>
        <w:t xml:space="preserve">accuracy </w:t>
      </w:r>
      <w:r w:rsidR="00087E61">
        <w:rPr>
          <w:lang w:eastAsia="x-none"/>
        </w:rPr>
        <w:t xml:space="preserve">requirements are needed for different timing differences (D), e.g., </w:t>
      </w:r>
    </w:p>
    <w:p w14:paraId="35192366" w14:textId="77777777" w:rsidR="00087E61" w:rsidRDefault="00087E61" w:rsidP="00C81DFC">
      <w:pPr>
        <w:spacing w:after="0"/>
        <w:ind w:left="568"/>
        <w:rPr>
          <w:lang w:eastAsia="x-none"/>
        </w:rPr>
      </w:pPr>
      <w:r>
        <w:rPr>
          <w:rFonts w:hint="eastAsia"/>
          <w:lang w:eastAsia="x-none"/>
        </w:rPr>
        <w:t>•</w:t>
      </w:r>
      <w:r>
        <w:rPr>
          <w:lang w:eastAsia="x-none"/>
        </w:rPr>
        <w:tab/>
        <w:t xml:space="preserve">D &lt; CP/2, </w:t>
      </w:r>
    </w:p>
    <w:p w14:paraId="206FDDA4" w14:textId="77777777" w:rsidR="00087E61" w:rsidRDefault="00087E61" w:rsidP="00C81DFC">
      <w:pPr>
        <w:spacing w:after="0"/>
        <w:ind w:left="568"/>
        <w:rPr>
          <w:lang w:eastAsia="x-none"/>
        </w:rPr>
      </w:pPr>
      <w:r>
        <w:rPr>
          <w:rFonts w:hint="eastAsia"/>
          <w:lang w:eastAsia="x-none"/>
        </w:rPr>
        <w:t>•</w:t>
      </w:r>
      <w:r>
        <w:rPr>
          <w:rFonts w:hint="eastAsia"/>
          <w:lang w:eastAsia="x-none"/>
        </w:rPr>
        <w:tab/>
        <w:t xml:space="preserve">CP/2 &lt; D </w:t>
      </w:r>
      <w:r>
        <w:rPr>
          <w:rFonts w:hint="eastAsia"/>
          <w:lang w:eastAsia="x-none"/>
        </w:rPr>
        <w:t>≤</w:t>
      </w:r>
      <w:r>
        <w:rPr>
          <w:rFonts w:hint="eastAsia"/>
          <w:lang w:eastAsia="x-none"/>
        </w:rPr>
        <w:t xml:space="preserve"> CP, </w:t>
      </w:r>
    </w:p>
    <w:p w14:paraId="7E96B165" w14:textId="77777777" w:rsidR="00087E61" w:rsidRDefault="00087E61" w:rsidP="00C81DFC">
      <w:pPr>
        <w:spacing w:after="0"/>
        <w:ind w:left="568"/>
        <w:rPr>
          <w:lang w:eastAsia="x-none"/>
        </w:rPr>
      </w:pPr>
      <w:r>
        <w:rPr>
          <w:rFonts w:hint="eastAsia"/>
          <w:lang w:eastAsia="x-none"/>
        </w:rPr>
        <w:t>•</w:t>
      </w:r>
      <w:r>
        <w:rPr>
          <w:rFonts w:hint="eastAsia"/>
          <w:lang w:eastAsia="x-none"/>
        </w:rPr>
        <w:tab/>
        <w:t xml:space="preserve">CP </w:t>
      </w:r>
      <w:r>
        <w:rPr>
          <w:rFonts w:hint="eastAsia"/>
          <w:lang w:eastAsia="x-none"/>
        </w:rPr>
        <w:t>≤</w:t>
      </w:r>
      <w:r>
        <w:rPr>
          <w:rFonts w:hint="eastAsia"/>
          <w:lang w:eastAsia="x-none"/>
        </w:rPr>
        <w:t xml:space="preserve"> D &lt; 2*CP, </w:t>
      </w:r>
    </w:p>
    <w:p w14:paraId="76206134" w14:textId="77777777" w:rsidR="00087E61" w:rsidRDefault="00087E61" w:rsidP="00C81DFC">
      <w:pPr>
        <w:spacing w:after="120"/>
        <w:ind w:left="568"/>
        <w:rPr>
          <w:lang w:eastAsia="x-none"/>
        </w:rPr>
      </w:pPr>
      <w:r>
        <w:rPr>
          <w:rFonts w:hint="eastAsia"/>
          <w:lang w:eastAsia="x-none"/>
        </w:rPr>
        <w:t>•</w:t>
      </w:r>
      <w:r>
        <w:rPr>
          <w:rFonts w:hint="eastAsia"/>
          <w:lang w:eastAsia="x-none"/>
        </w:rPr>
        <w:tab/>
        <w:t xml:space="preserve">D </w:t>
      </w:r>
      <w:r>
        <w:rPr>
          <w:rFonts w:hint="eastAsia"/>
          <w:lang w:eastAsia="x-none"/>
        </w:rPr>
        <w:t>≥</w:t>
      </w:r>
      <w:r>
        <w:rPr>
          <w:rFonts w:hint="eastAsia"/>
          <w:lang w:eastAsia="x-none"/>
        </w:rPr>
        <w:t xml:space="preserve"> 2*CP. </w:t>
      </w:r>
    </w:p>
    <w:p w14:paraId="325CA1B4" w14:textId="719D41FC" w:rsidR="002B695F" w:rsidRPr="009B5952" w:rsidRDefault="00C81DFC" w:rsidP="006015FC">
      <w:pPr>
        <w:pStyle w:val="Caption"/>
      </w:pPr>
      <w:bookmarkStart w:id="8" w:name="_Ref40049105"/>
      <w:r>
        <w:t xml:space="preserve">Proposal </w:t>
      </w:r>
      <w:r w:rsidR="001E72A4">
        <w:rPr>
          <w:noProof/>
        </w:rPr>
        <w:fldChar w:fldCharType="begin"/>
      </w:r>
      <w:r w:rsidR="001E72A4">
        <w:rPr>
          <w:noProof/>
        </w:rPr>
        <w:instrText xml:space="preserve"> SEQ Proposal \* ARABIC </w:instrText>
      </w:r>
      <w:r w:rsidR="001E72A4">
        <w:rPr>
          <w:noProof/>
        </w:rPr>
        <w:fldChar w:fldCharType="separate"/>
      </w:r>
      <w:r w:rsidR="006015FC">
        <w:rPr>
          <w:noProof/>
        </w:rPr>
        <w:t>1</w:t>
      </w:r>
      <w:r w:rsidR="001E72A4">
        <w:rPr>
          <w:noProof/>
        </w:rPr>
        <w:fldChar w:fldCharType="end"/>
      </w:r>
      <w:r>
        <w:t>: RAN4 to address the issue of timing difference between the arrival of the CSI-RS and UE’s FFT timing in the performance part</w:t>
      </w:r>
      <w:r w:rsidR="006015FC">
        <w:t xml:space="preserve"> with different measurement accuracy requirements</w:t>
      </w:r>
      <w:r>
        <w:t>.</w:t>
      </w:r>
      <w:bookmarkEnd w:id="8"/>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7DADB5BC" w14:textId="22156591" w:rsidR="00F3456B" w:rsidRDefault="006F7557" w:rsidP="00F3456B">
      <w:pPr>
        <w:adjustRightInd w:val="0"/>
        <w:snapToGrid w:val="0"/>
        <w:spacing w:before="180" w:after="120"/>
        <w:jc w:val="both"/>
      </w:pPr>
      <w:r w:rsidRPr="004D05A7">
        <w:rPr>
          <w:rFonts w:hint="eastAsia"/>
        </w:rPr>
        <w:t xml:space="preserve">In this </w:t>
      </w:r>
      <w:r w:rsidRPr="004D05A7">
        <w:t>paper</w:t>
      </w:r>
      <w:r w:rsidR="005C7F0B">
        <w:t xml:space="preserve">, </w:t>
      </w:r>
      <w:r w:rsidR="00CB0B1A">
        <w:t xml:space="preserve">we discuss the </w:t>
      </w:r>
      <w:r w:rsidR="00C81DFC">
        <w:t>synchronization assumption</w:t>
      </w:r>
      <w:r w:rsidR="00CB0B1A">
        <w:t xml:space="preserve"> for L3 CSI-RS. We have the following observations and proposals.</w:t>
      </w:r>
    </w:p>
    <w:p w14:paraId="7F54A9CF" w14:textId="0156CBA6" w:rsidR="00C81DFC" w:rsidRPr="00C81DFC" w:rsidRDefault="00C81DFC" w:rsidP="00F3456B">
      <w:pPr>
        <w:adjustRightInd w:val="0"/>
        <w:snapToGrid w:val="0"/>
        <w:spacing w:before="180" w:after="120"/>
        <w:jc w:val="both"/>
        <w:rPr>
          <w:b/>
          <w:sz w:val="20"/>
          <w:szCs w:val="20"/>
          <w:lang w:val="x-none" w:eastAsia="x-none"/>
        </w:rPr>
      </w:pPr>
      <w:r w:rsidRPr="00C81DFC">
        <w:rPr>
          <w:b/>
          <w:sz w:val="20"/>
          <w:szCs w:val="20"/>
          <w:lang w:val="x-none" w:eastAsia="x-none"/>
        </w:rPr>
        <w:fldChar w:fldCharType="begin"/>
      </w:r>
      <w:r w:rsidRPr="00C81DFC">
        <w:rPr>
          <w:b/>
          <w:sz w:val="20"/>
          <w:szCs w:val="20"/>
          <w:lang w:val="x-none" w:eastAsia="x-none"/>
        </w:rPr>
        <w:instrText xml:space="preserve"> REF _Ref40049099 \h </w:instrText>
      </w:r>
      <w:r>
        <w:rPr>
          <w:b/>
          <w:sz w:val="20"/>
          <w:szCs w:val="20"/>
          <w:lang w:val="x-none" w:eastAsia="x-none"/>
        </w:rPr>
        <w:instrText xml:space="preserve"> \* MERGEFORMAT </w:instrText>
      </w:r>
      <w:r w:rsidRPr="00C81DFC">
        <w:rPr>
          <w:b/>
          <w:sz w:val="20"/>
          <w:szCs w:val="20"/>
          <w:lang w:val="x-none" w:eastAsia="x-none"/>
        </w:rPr>
      </w:r>
      <w:r w:rsidRPr="00C81DFC">
        <w:rPr>
          <w:b/>
          <w:sz w:val="20"/>
          <w:szCs w:val="20"/>
          <w:lang w:val="x-none" w:eastAsia="x-none"/>
        </w:rPr>
        <w:fldChar w:fldCharType="separate"/>
      </w:r>
      <w:r w:rsidR="006015FC" w:rsidRPr="006015FC">
        <w:rPr>
          <w:b/>
          <w:sz w:val="20"/>
          <w:szCs w:val="20"/>
          <w:lang w:val="x-none" w:eastAsia="x-none"/>
        </w:rPr>
        <w:t xml:space="preserve">Observation 1: According to WID, UE is required to use single FFT window to measure all cells in one frequency </w:t>
      </w:r>
      <w:r w:rsidR="006015FC">
        <w:t>layer.</w:t>
      </w:r>
      <w:r w:rsidRPr="00C81DFC">
        <w:rPr>
          <w:b/>
          <w:sz w:val="20"/>
          <w:szCs w:val="20"/>
          <w:lang w:val="x-none" w:eastAsia="x-none"/>
        </w:rPr>
        <w:fldChar w:fldCharType="end"/>
      </w:r>
    </w:p>
    <w:p w14:paraId="133B4CFF" w14:textId="79CF4F8E" w:rsidR="00C81DFC" w:rsidRPr="00C81DFC" w:rsidRDefault="00C81DFC" w:rsidP="00F3456B">
      <w:pPr>
        <w:adjustRightInd w:val="0"/>
        <w:snapToGrid w:val="0"/>
        <w:spacing w:before="180" w:after="120"/>
        <w:jc w:val="both"/>
        <w:rPr>
          <w:b/>
          <w:sz w:val="20"/>
          <w:szCs w:val="20"/>
          <w:lang w:val="x-none" w:eastAsia="x-none"/>
        </w:rPr>
      </w:pPr>
      <w:r w:rsidRPr="00C81DFC">
        <w:rPr>
          <w:b/>
          <w:sz w:val="20"/>
          <w:szCs w:val="20"/>
          <w:lang w:val="x-none" w:eastAsia="x-none"/>
        </w:rPr>
        <w:fldChar w:fldCharType="begin"/>
      </w:r>
      <w:r w:rsidRPr="00C81DFC">
        <w:rPr>
          <w:b/>
          <w:sz w:val="20"/>
          <w:szCs w:val="20"/>
          <w:lang w:val="x-none" w:eastAsia="x-none"/>
        </w:rPr>
        <w:instrText xml:space="preserve"> REF _Ref40049101 \h </w:instrText>
      </w:r>
      <w:r>
        <w:rPr>
          <w:b/>
          <w:sz w:val="20"/>
          <w:szCs w:val="20"/>
          <w:lang w:val="x-none" w:eastAsia="x-none"/>
        </w:rPr>
        <w:instrText xml:space="preserve"> \* MERGEFORMAT </w:instrText>
      </w:r>
      <w:r w:rsidRPr="00C81DFC">
        <w:rPr>
          <w:b/>
          <w:sz w:val="20"/>
          <w:szCs w:val="20"/>
          <w:lang w:val="x-none" w:eastAsia="x-none"/>
        </w:rPr>
      </w:r>
      <w:r w:rsidRPr="00C81DFC">
        <w:rPr>
          <w:b/>
          <w:sz w:val="20"/>
          <w:szCs w:val="20"/>
          <w:lang w:val="x-none" w:eastAsia="x-none"/>
        </w:rPr>
        <w:fldChar w:fldCharType="separate"/>
      </w:r>
      <w:r w:rsidR="006015FC" w:rsidRPr="006015FC">
        <w:rPr>
          <w:b/>
          <w:sz w:val="20"/>
          <w:szCs w:val="20"/>
          <w:lang w:val="x-none" w:eastAsia="x-none"/>
        </w:rPr>
        <w:t>Observation 2: The cell phase synchronization error is already larger than the CP length of SCS 30KHz, 60KHz and 120KHz, even without considering the difference due to propagation delay.</w:t>
      </w:r>
      <w:r w:rsidRPr="00C81DFC">
        <w:rPr>
          <w:b/>
          <w:sz w:val="20"/>
          <w:szCs w:val="20"/>
          <w:lang w:val="x-none" w:eastAsia="x-none"/>
        </w:rPr>
        <w:fldChar w:fldCharType="end"/>
      </w:r>
    </w:p>
    <w:p w14:paraId="21E541F7" w14:textId="212BF9E4" w:rsidR="00C81DFC" w:rsidRDefault="00C81DFC" w:rsidP="00F3456B">
      <w:pPr>
        <w:adjustRightInd w:val="0"/>
        <w:snapToGrid w:val="0"/>
        <w:spacing w:before="180" w:after="120"/>
        <w:jc w:val="both"/>
        <w:rPr>
          <w:b/>
          <w:sz w:val="20"/>
          <w:szCs w:val="20"/>
          <w:lang w:val="x-none" w:eastAsia="x-none"/>
        </w:rPr>
      </w:pPr>
      <w:r w:rsidRPr="00C81DFC">
        <w:rPr>
          <w:b/>
          <w:sz w:val="20"/>
          <w:szCs w:val="20"/>
          <w:lang w:val="x-none" w:eastAsia="x-none"/>
        </w:rPr>
        <w:fldChar w:fldCharType="begin"/>
      </w:r>
      <w:r w:rsidRPr="00C81DFC">
        <w:rPr>
          <w:b/>
          <w:sz w:val="20"/>
          <w:szCs w:val="20"/>
          <w:lang w:val="x-none" w:eastAsia="x-none"/>
        </w:rPr>
        <w:instrText xml:space="preserve"> REF _Ref40049103 \h </w:instrText>
      </w:r>
      <w:r>
        <w:rPr>
          <w:b/>
          <w:sz w:val="20"/>
          <w:szCs w:val="20"/>
          <w:lang w:val="x-none" w:eastAsia="x-none"/>
        </w:rPr>
        <w:instrText xml:space="preserve"> \* MERGEFORMAT </w:instrText>
      </w:r>
      <w:r w:rsidRPr="00C81DFC">
        <w:rPr>
          <w:b/>
          <w:sz w:val="20"/>
          <w:szCs w:val="20"/>
          <w:lang w:val="x-none" w:eastAsia="x-none"/>
        </w:rPr>
      </w:r>
      <w:r w:rsidRPr="00C81DFC">
        <w:rPr>
          <w:b/>
          <w:sz w:val="20"/>
          <w:szCs w:val="20"/>
          <w:lang w:val="x-none" w:eastAsia="x-none"/>
        </w:rPr>
        <w:fldChar w:fldCharType="separate"/>
      </w:r>
      <w:r w:rsidR="006015FC" w:rsidRPr="006015FC">
        <w:rPr>
          <w:b/>
          <w:sz w:val="20"/>
          <w:szCs w:val="20"/>
          <w:lang w:val="x-none" w:eastAsia="x-none"/>
        </w:rPr>
        <w:t>Observation 3: Inter-gNB distance and the cell phase synchronization requirement were determined in R15 and will not be further reduced due to the introduction of CSI-RS for L3 measurement.</w:t>
      </w:r>
      <w:r w:rsidRPr="00C81DFC">
        <w:rPr>
          <w:b/>
          <w:sz w:val="20"/>
          <w:szCs w:val="20"/>
          <w:lang w:val="x-none" w:eastAsia="x-none"/>
        </w:rPr>
        <w:fldChar w:fldCharType="end"/>
      </w:r>
    </w:p>
    <w:p w14:paraId="16342C1B" w14:textId="45B0EB48" w:rsidR="006015FC" w:rsidRDefault="006015FC" w:rsidP="00F3456B">
      <w:pPr>
        <w:adjustRightInd w:val="0"/>
        <w:snapToGrid w:val="0"/>
        <w:spacing w:before="180" w:after="120"/>
        <w:jc w:val="both"/>
        <w:rPr>
          <w:b/>
          <w:sz w:val="20"/>
          <w:szCs w:val="20"/>
          <w:lang w:val="x-none" w:eastAsia="x-none"/>
        </w:rPr>
      </w:pPr>
      <w:r>
        <w:rPr>
          <w:b/>
          <w:sz w:val="20"/>
          <w:szCs w:val="20"/>
          <w:lang w:val="x-none" w:eastAsia="x-none"/>
        </w:rPr>
        <w:fldChar w:fldCharType="begin"/>
      </w:r>
      <w:r>
        <w:rPr>
          <w:b/>
          <w:sz w:val="20"/>
          <w:szCs w:val="20"/>
          <w:lang w:val="x-none" w:eastAsia="x-none"/>
        </w:rPr>
        <w:instrText xml:space="preserve"> REF _Ref47442680 \h  \* MERGEFORMAT </w:instrText>
      </w:r>
      <w:r>
        <w:rPr>
          <w:b/>
          <w:sz w:val="20"/>
          <w:szCs w:val="20"/>
          <w:lang w:val="x-none" w:eastAsia="x-none"/>
        </w:rPr>
      </w:r>
      <w:r>
        <w:rPr>
          <w:b/>
          <w:sz w:val="20"/>
          <w:szCs w:val="20"/>
          <w:lang w:val="x-none" w:eastAsia="x-none"/>
        </w:rPr>
        <w:fldChar w:fldCharType="separate"/>
      </w:r>
      <w:r w:rsidRPr="006015FC">
        <w:rPr>
          <w:b/>
          <w:sz w:val="20"/>
          <w:szCs w:val="20"/>
          <w:lang w:val="x-none" w:eastAsia="x-none"/>
        </w:rPr>
        <w:t>Observation 4: The receive timing difference is only visible at UE side. Network has no knowledge about which measurement report is more reliable than the others</w:t>
      </w:r>
      <w:r>
        <w:rPr>
          <w:b/>
          <w:sz w:val="20"/>
          <w:szCs w:val="20"/>
          <w:lang w:val="x-none" w:eastAsia="x-none"/>
        </w:rPr>
        <w:fldChar w:fldCharType="end"/>
      </w:r>
    </w:p>
    <w:p w14:paraId="1839CE37" w14:textId="2F3F0312" w:rsidR="006015FC" w:rsidRPr="00C81DFC" w:rsidRDefault="006015FC" w:rsidP="00F3456B">
      <w:pPr>
        <w:adjustRightInd w:val="0"/>
        <w:snapToGrid w:val="0"/>
        <w:spacing w:before="180" w:after="120"/>
        <w:jc w:val="both"/>
        <w:rPr>
          <w:b/>
          <w:sz w:val="20"/>
          <w:szCs w:val="20"/>
          <w:lang w:val="x-none" w:eastAsia="x-none"/>
        </w:rPr>
      </w:pPr>
      <w:r>
        <w:rPr>
          <w:b/>
          <w:sz w:val="20"/>
          <w:szCs w:val="20"/>
          <w:lang w:val="x-none" w:eastAsia="x-none"/>
        </w:rPr>
        <w:fldChar w:fldCharType="begin"/>
      </w:r>
      <w:r>
        <w:rPr>
          <w:b/>
          <w:sz w:val="20"/>
          <w:szCs w:val="20"/>
          <w:lang w:val="x-none" w:eastAsia="x-none"/>
        </w:rPr>
        <w:instrText xml:space="preserve"> REF _Ref47442681 \h  \* MERGEFORMAT </w:instrText>
      </w:r>
      <w:r>
        <w:rPr>
          <w:b/>
          <w:sz w:val="20"/>
          <w:szCs w:val="20"/>
          <w:lang w:val="x-none" w:eastAsia="x-none"/>
        </w:rPr>
      </w:r>
      <w:r>
        <w:rPr>
          <w:b/>
          <w:sz w:val="20"/>
          <w:szCs w:val="20"/>
          <w:lang w:val="x-none" w:eastAsia="x-none"/>
        </w:rPr>
        <w:fldChar w:fldCharType="separate"/>
      </w:r>
      <w:r w:rsidRPr="006015FC">
        <w:rPr>
          <w:b/>
          <w:sz w:val="20"/>
          <w:szCs w:val="20"/>
          <w:lang w:val="x-none" w:eastAsia="x-none"/>
        </w:rPr>
        <w:t>Observation 5: Even with the new UE capability introduced, practical UE implementation with limited number of FFT engines still need to handle the measurement on the CSI-RS signal with misaligned receive timing.</w:t>
      </w:r>
      <w:r>
        <w:rPr>
          <w:b/>
          <w:sz w:val="20"/>
          <w:szCs w:val="20"/>
          <w:lang w:val="x-none" w:eastAsia="x-none"/>
        </w:rPr>
        <w:fldChar w:fldCharType="end"/>
      </w:r>
    </w:p>
    <w:p w14:paraId="47602993" w14:textId="2F1E7639" w:rsidR="00F65F68" w:rsidRPr="00C81DFC" w:rsidRDefault="00C81DFC" w:rsidP="00F3456B">
      <w:pPr>
        <w:adjustRightInd w:val="0"/>
        <w:snapToGrid w:val="0"/>
        <w:spacing w:before="180" w:after="120"/>
        <w:jc w:val="both"/>
        <w:rPr>
          <w:b/>
          <w:sz w:val="20"/>
          <w:szCs w:val="20"/>
          <w:lang w:val="x-none" w:eastAsia="x-none"/>
        </w:rPr>
      </w:pPr>
      <w:r w:rsidRPr="00C81DFC">
        <w:rPr>
          <w:b/>
          <w:sz w:val="20"/>
          <w:szCs w:val="20"/>
          <w:lang w:val="x-none" w:eastAsia="x-none"/>
        </w:rPr>
        <w:fldChar w:fldCharType="begin"/>
      </w:r>
      <w:r w:rsidRPr="00C81DFC">
        <w:rPr>
          <w:b/>
          <w:sz w:val="20"/>
          <w:szCs w:val="20"/>
          <w:lang w:val="x-none" w:eastAsia="x-none"/>
        </w:rPr>
        <w:instrText xml:space="preserve"> REF _Ref40049105 \h </w:instrText>
      </w:r>
      <w:r>
        <w:rPr>
          <w:b/>
          <w:sz w:val="20"/>
          <w:szCs w:val="20"/>
          <w:lang w:val="x-none" w:eastAsia="x-none"/>
        </w:rPr>
        <w:instrText xml:space="preserve"> \* MERGEFORMAT </w:instrText>
      </w:r>
      <w:r w:rsidRPr="00C81DFC">
        <w:rPr>
          <w:b/>
          <w:sz w:val="20"/>
          <w:szCs w:val="20"/>
          <w:lang w:val="x-none" w:eastAsia="x-none"/>
        </w:rPr>
      </w:r>
      <w:r w:rsidRPr="00C81DFC">
        <w:rPr>
          <w:b/>
          <w:sz w:val="20"/>
          <w:szCs w:val="20"/>
          <w:lang w:val="x-none" w:eastAsia="x-none"/>
        </w:rPr>
        <w:fldChar w:fldCharType="separate"/>
      </w:r>
      <w:r w:rsidR="006015FC" w:rsidRPr="006015FC">
        <w:rPr>
          <w:b/>
          <w:sz w:val="20"/>
          <w:szCs w:val="20"/>
          <w:lang w:val="x-none" w:eastAsia="x-none"/>
        </w:rPr>
        <w:t>Proposal 1: RAN4 to address the issue of timing difference between the arrival of the CSI-RS and UE’s FFT timing in the performance part with different measurement accuracy requirements.</w:t>
      </w:r>
      <w:r w:rsidRPr="00C81DFC">
        <w:rPr>
          <w:b/>
          <w:sz w:val="20"/>
          <w:szCs w:val="20"/>
          <w:lang w:val="x-none" w:eastAsia="x-none"/>
        </w:rPr>
        <w:fldChar w:fldCharType="end"/>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lastRenderedPageBreak/>
        <w:t>Reference</w:t>
      </w:r>
    </w:p>
    <w:p w14:paraId="780452EE" w14:textId="50793FDC" w:rsidR="003C022F" w:rsidRDefault="0090653B" w:rsidP="00B41628">
      <w:pPr>
        <w:overflowPunct w:val="0"/>
        <w:autoSpaceDE w:val="0"/>
        <w:autoSpaceDN w:val="0"/>
        <w:adjustRightInd w:val="0"/>
        <w:textAlignment w:val="baseline"/>
        <w:rPr>
          <w:sz w:val="20"/>
          <w:lang w:eastAsia="ko-KR"/>
        </w:rPr>
      </w:pPr>
      <w:r>
        <w:rPr>
          <w:sz w:val="20"/>
          <w:lang w:eastAsia="ko-KR"/>
        </w:rPr>
        <w:t xml:space="preserve">[1] </w:t>
      </w:r>
      <w:r w:rsidR="003C022F" w:rsidRPr="003C022F">
        <w:rPr>
          <w:sz w:val="20"/>
          <w:lang w:eastAsia="ko-KR"/>
        </w:rPr>
        <w:t>R4-200</w:t>
      </w:r>
      <w:r w:rsidR="00C1522F">
        <w:rPr>
          <w:sz w:val="20"/>
          <w:lang w:eastAsia="ko-KR"/>
        </w:rPr>
        <w:t>9037</w:t>
      </w:r>
      <w:r w:rsidR="003C022F">
        <w:rPr>
          <w:sz w:val="20"/>
          <w:lang w:eastAsia="ko-KR"/>
        </w:rPr>
        <w:t>, “</w:t>
      </w:r>
      <w:r w:rsidR="00C1522F" w:rsidRPr="00C1522F">
        <w:rPr>
          <w:sz w:val="20"/>
          <w:lang w:eastAsia="ko-KR"/>
        </w:rPr>
        <w:t>Email discussion summary for RAN4#95-e_#225_NR_CSIRS_L3meas_RRM_Part_1</w:t>
      </w:r>
      <w:r w:rsidR="003C022F">
        <w:rPr>
          <w:sz w:val="20"/>
          <w:lang w:eastAsia="ko-KR"/>
        </w:rPr>
        <w:t>”, CATT</w:t>
      </w:r>
    </w:p>
    <w:p w14:paraId="411E3085" w14:textId="77777777" w:rsidR="009B5952" w:rsidRDefault="009B5952">
      <w:pPr>
        <w:overflowPunct w:val="0"/>
        <w:autoSpaceDE w:val="0"/>
        <w:autoSpaceDN w:val="0"/>
        <w:adjustRightInd w:val="0"/>
        <w:textAlignment w:val="baseline"/>
        <w:rPr>
          <w:sz w:val="20"/>
          <w:lang w:eastAsia="ko-KR"/>
        </w:rPr>
      </w:pPr>
    </w:p>
    <w:sectPr w:rsidR="009B595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1CE153" w14:textId="77777777" w:rsidR="008C2A51" w:rsidRDefault="008C2A51">
      <w:r>
        <w:separator/>
      </w:r>
    </w:p>
  </w:endnote>
  <w:endnote w:type="continuationSeparator" w:id="0">
    <w:p w14:paraId="02B7D5D8" w14:textId="77777777" w:rsidR="008C2A51" w:rsidRDefault="008C2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4036C5" w14:textId="77777777" w:rsidR="008C2A51" w:rsidRDefault="008C2A51">
      <w:r>
        <w:separator/>
      </w:r>
    </w:p>
  </w:footnote>
  <w:footnote w:type="continuationSeparator" w:id="0">
    <w:p w14:paraId="670DAC9E" w14:textId="77777777" w:rsidR="008C2A51" w:rsidRDefault="008C2A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FF4625"/>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D6241"/>
    <w:multiLevelType w:val="hybridMultilevel"/>
    <w:tmpl w:val="43BE4BC2"/>
    <w:lvl w:ilvl="0" w:tplc="BDB45CBE">
      <w:start w:val="1"/>
      <w:numFmt w:val="bullet"/>
      <w:lvlText w:val="•"/>
      <w:lvlJc w:val="left"/>
      <w:pPr>
        <w:tabs>
          <w:tab w:val="num" w:pos="720"/>
        </w:tabs>
        <w:ind w:left="720" w:hanging="360"/>
      </w:pPr>
      <w:rPr>
        <w:rFonts w:ascii="Arial" w:hAnsi="Arial" w:hint="default"/>
      </w:rPr>
    </w:lvl>
    <w:lvl w:ilvl="1" w:tplc="7696CA8E" w:tentative="1">
      <w:start w:val="1"/>
      <w:numFmt w:val="bullet"/>
      <w:lvlText w:val="•"/>
      <w:lvlJc w:val="left"/>
      <w:pPr>
        <w:tabs>
          <w:tab w:val="num" w:pos="1440"/>
        </w:tabs>
        <w:ind w:left="1440" w:hanging="360"/>
      </w:pPr>
      <w:rPr>
        <w:rFonts w:ascii="Arial" w:hAnsi="Arial" w:hint="default"/>
      </w:rPr>
    </w:lvl>
    <w:lvl w:ilvl="2" w:tplc="2F3A1B82">
      <w:start w:val="1"/>
      <w:numFmt w:val="bullet"/>
      <w:lvlText w:val="•"/>
      <w:lvlJc w:val="left"/>
      <w:pPr>
        <w:tabs>
          <w:tab w:val="num" w:pos="2160"/>
        </w:tabs>
        <w:ind w:left="2160" w:hanging="360"/>
      </w:pPr>
      <w:rPr>
        <w:rFonts w:ascii="Arial" w:hAnsi="Arial" w:hint="default"/>
      </w:rPr>
    </w:lvl>
    <w:lvl w:ilvl="3" w:tplc="93DCCCC0" w:tentative="1">
      <w:start w:val="1"/>
      <w:numFmt w:val="bullet"/>
      <w:lvlText w:val="•"/>
      <w:lvlJc w:val="left"/>
      <w:pPr>
        <w:tabs>
          <w:tab w:val="num" w:pos="2880"/>
        </w:tabs>
        <w:ind w:left="2880" w:hanging="360"/>
      </w:pPr>
      <w:rPr>
        <w:rFonts w:ascii="Arial" w:hAnsi="Arial" w:hint="default"/>
      </w:rPr>
    </w:lvl>
    <w:lvl w:ilvl="4" w:tplc="5AAA9858" w:tentative="1">
      <w:start w:val="1"/>
      <w:numFmt w:val="bullet"/>
      <w:lvlText w:val="•"/>
      <w:lvlJc w:val="left"/>
      <w:pPr>
        <w:tabs>
          <w:tab w:val="num" w:pos="3600"/>
        </w:tabs>
        <w:ind w:left="3600" w:hanging="360"/>
      </w:pPr>
      <w:rPr>
        <w:rFonts w:ascii="Arial" w:hAnsi="Arial" w:hint="default"/>
      </w:rPr>
    </w:lvl>
    <w:lvl w:ilvl="5" w:tplc="E50A70D2" w:tentative="1">
      <w:start w:val="1"/>
      <w:numFmt w:val="bullet"/>
      <w:lvlText w:val="•"/>
      <w:lvlJc w:val="left"/>
      <w:pPr>
        <w:tabs>
          <w:tab w:val="num" w:pos="4320"/>
        </w:tabs>
        <w:ind w:left="4320" w:hanging="360"/>
      </w:pPr>
      <w:rPr>
        <w:rFonts w:ascii="Arial" w:hAnsi="Arial" w:hint="default"/>
      </w:rPr>
    </w:lvl>
    <w:lvl w:ilvl="6" w:tplc="89BC8AD4" w:tentative="1">
      <w:start w:val="1"/>
      <w:numFmt w:val="bullet"/>
      <w:lvlText w:val="•"/>
      <w:lvlJc w:val="left"/>
      <w:pPr>
        <w:tabs>
          <w:tab w:val="num" w:pos="5040"/>
        </w:tabs>
        <w:ind w:left="5040" w:hanging="360"/>
      </w:pPr>
      <w:rPr>
        <w:rFonts w:ascii="Arial" w:hAnsi="Arial" w:hint="default"/>
      </w:rPr>
    </w:lvl>
    <w:lvl w:ilvl="7" w:tplc="6DFAA02C" w:tentative="1">
      <w:start w:val="1"/>
      <w:numFmt w:val="bullet"/>
      <w:lvlText w:val="•"/>
      <w:lvlJc w:val="left"/>
      <w:pPr>
        <w:tabs>
          <w:tab w:val="num" w:pos="5760"/>
        </w:tabs>
        <w:ind w:left="5760" w:hanging="360"/>
      </w:pPr>
      <w:rPr>
        <w:rFonts w:ascii="Arial" w:hAnsi="Arial" w:hint="default"/>
      </w:rPr>
    </w:lvl>
    <w:lvl w:ilvl="8" w:tplc="2A02E6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6E325C"/>
    <w:multiLevelType w:val="hybridMultilevel"/>
    <w:tmpl w:val="55D8B1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E27DD7"/>
    <w:multiLevelType w:val="hybridMultilevel"/>
    <w:tmpl w:val="DE60CCDE"/>
    <w:lvl w:ilvl="0" w:tplc="EE7C967E">
      <w:start w:val="1"/>
      <w:numFmt w:val="bullet"/>
      <w:lvlText w:val="•"/>
      <w:lvlJc w:val="left"/>
      <w:pPr>
        <w:tabs>
          <w:tab w:val="num" w:pos="720"/>
        </w:tabs>
        <w:ind w:left="720" w:hanging="360"/>
      </w:pPr>
      <w:rPr>
        <w:rFonts w:ascii="Arial" w:hAnsi="Arial" w:hint="default"/>
      </w:rPr>
    </w:lvl>
    <w:lvl w:ilvl="1" w:tplc="F6F4AD6C">
      <w:numFmt w:val="bullet"/>
      <w:lvlText w:val="•"/>
      <w:lvlJc w:val="left"/>
      <w:pPr>
        <w:tabs>
          <w:tab w:val="num" w:pos="1440"/>
        </w:tabs>
        <w:ind w:left="1440" w:hanging="360"/>
      </w:pPr>
      <w:rPr>
        <w:rFonts w:ascii="Arial" w:hAnsi="Arial" w:hint="default"/>
      </w:rPr>
    </w:lvl>
    <w:lvl w:ilvl="2" w:tplc="A3A09AC2" w:tentative="1">
      <w:start w:val="1"/>
      <w:numFmt w:val="bullet"/>
      <w:lvlText w:val="•"/>
      <w:lvlJc w:val="left"/>
      <w:pPr>
        <w:tabs>
          <w:tab w:val="num" w:pos="2160"/>
        </w:tabs>
        <w:ind w:left="2160" w:hanging="360"/>
      </w:pPr>
      <w:rPr>
        <w:rFonts w:ascii="Arial" w:hAnsi="Arial" w:hint="default"/>
      </w:rPr>
    </w:lvl>
    <w:lvl w:ilvl="3" w:tplc="A7D66EBA" w:tentative="1">
      <w:start w:val="1"/>
      <w:numFmt w:val="bullet"/>
      <w:lvlText w:val="•"/>
      <w:lvlJc w:val="left"/>
      <w:pPr>
        <w:tabs>
          <w:tab w:val="num" w:pos="2880"/>
        </w:tabs>
        <w:ind w:left="2880" w:hanging="360"/>
      </w:pPr>
      <w:rPr>
        <w:rFonts w:ascii="Arial" w:hAnsi="Arial" w:hint="default"/>
      </w:rPr>
    </w:lvl>
    <w:lvl w:ilvl="4" w:tplc="5ACEF4F6" w:tentative="1">
      <w:start w:val="1"/>
      <w:numFmt w:val="bullet"/>
      <w:lvlText w:val="•"/>
      <w:lvlJc w:val="left"/>
      <w:pPr>
        <w:tabs>
          <w:tab w:val="num" w:pos="3600"/>
        </w:tabs>
        <w:ind w:left="3600" w:hanging="360"/>
      </w:pPr>
      <w:rPr>
        <w:rFonts w:ascii="Arial" w:hAnsi="Arial" w:hint="default"/>
      </w:rPr>
    </w:lvl>
    <w:lvl w:ilvl="5" w:tplc="01F45B46" w:tentative="1">
      <w:start w:val="1"/>
      <w:numFmt w:val="bullet"/>
      <w:lvlText w:val="•"/>
      <w:lvlJc w:val="left"/>
      <w:pPr>
        <w:tabs>
          <w:tab w:val="num" w:pos="4320"/>
        </w:tabs>
        <w:ind w:left="4320" w:hanging="360"/>
      </w:pPr>
      <w:rPr>
        <w:rFonts w:ascii="Arial" w:hAnsi="Arial" w:hint="default"/>
      </w:rPr>
    </w:lvl>
    <w:lvl w:ilvl="6" w:tplc="E6EEEE9E" w:tentative="1">
      <w:start w:val="1"/>
      <w:numFmt w:val="bullet"/>
      <w:lvlText w:val="•"/>
      <w:lvlJc w:val="left"/>
      <w:pPr>
        <w:tabs>
          <w:tab w:val="num" w:pos="5040"/>
        </w:tabs>
        <w:ind w:left="5040" w:hanging="360"/>
      </w:pPr>
      <w:rPr>
        <w:rFonts w:ascii="Arial" w:hAnsi="Arial" w:hint="default"/>
      </w:rPr>
    </w:lvl>
    <w:lvl w:ilvl="7" w:tplc="B89E07F8" w:tentative="1">
      <w:start w:val="1"/>
      <w:numFmt w:val="bullet"/>
      <w:lvlText w:val="•"/>
      <w:lvlJc w:val="left"/>
      <w:pPr>
        <w:tabs>
          <w:tab w:val="num" w:pos="5760"/>
        </w:tabs>
        <w:ind w:left="5760" w:hanging="360"/>
      </w:pPr>
      <w:rPr>
        <w:rFonts w:ascii="Arial" w:hAnsi="Arial" w:hint="default"/>
      </w:rPr>
    </w:lvl>
    <w:lvl w:ilvl="8" w:tplc="303CCB9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521BBE"/>
    <w:multiLevelType w:val="hybridMultilevel"/>
    <w:tmpl w:val="0E7E77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2260270"/>
    <w:multiLevelType w:val="hybridMultilevel"/>
    <w:tmpl w:val="95C4F8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72EBF"/>
    <w:multiLevelType w:val="hybridMultilevel"/>
    <w:tmpl w:val="120C9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5E1BE4"/>
    <w:multiLevelType w:val="hybridMultilevel"/>
    <w:tmpl w:val="816EC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5617BF"/>
    <w:multiLevelType w:val="hybridMultilevel"/>
    <w:tmpl w:val="679AF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ED3BCE"/>
    <w:multiLevelType w:val="hybridMultilevel"/>
    <w:tmpl w:val="FDFC43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E220B7"/>
    <w:multiLevelType w:val="hybridMultilevel"/>
    <w:tmpl w:val="71263328"/>
    <w:lvl w:ilvl="0" w:tplc="0DB65E52">
      <w:start w:val="1"/>
      <w:numFmt w:val="bullet"/>
      <w:lvlText w:val="•"/>
      <w:lvlJc w:val="left"/>
      <w:pPr>
        <w:tabs>
          <w:tab w:val="num" w:pos="720"/>
        </w:tabs>
        <w:ind w:left="720" w:hanging="360"/>
      </w:pPr>
      <w:rPr>
        <w:rFonts w:ascii="Arial" w:hAnsi="Arial" w:hint="default"/>
      </w:rPr>
    </w:lvl>
    <w:lvl w:ilvl="1" w:tplc="CCBCF396">
      <w:start w:val="1"/>
      <w:numFmt w:val="bullet"/>
      <w:lvlText w:val="•"/>
      <w:lvlJc w:val="left"/>
      <w:pPr>
        <w:tabs>
          <w:tab w:val="num" w:pos="1440"/>
        </w:tabs>
        <w:ind w:left="1440" w:hanging="360"/>
      </w:pPr>
      <w:rPr>
        <w:rFonts w:ascii="Arial" w:hAnsi="Arial" w:hint="default"/>
      </w:rPr>
    </w:lvl>
    <w:lvl w:ilvl="2" w:tplc="53E01D0E" w:tentative="1">
      <w:start w:val="1"/>
      <w:numFmt w:val="bullet"/>
      <w:lvlText w:val="•"/>
      <w:lvlJc w:val="left"/>
      <w:pPr>
        <w:tabs>
          <w:tab w:val="num" w:pos="2160"/>
        </w:tabs>
        <w:ind w:left="2160" w:hanging="360"/>
      </w:pPr>
      <w:rPr>
        <w:rFonts w:ascii="Arial" w:hAnsi="Arial" w:hint="default"/>
      </w:rPr>
    </w:lvl>
    <w:lvl w:ilvl="3" w:tplc="107E0B54" w:tentative="1">
      <w:start w:val="1"/>
      <w:numFmt w:val="bullet"/>
      <w:lvlText w:val="•"/>
      <w:lvlJc w:val="left"/>
      <w:pPr>
        <w:tabs>
          <w:tab w:val="num" w:pos="2880"/>
        </w:tabs>
        <w:ind w:left="2880" w:hanging="360"/>
      </w:pPr>
      <w:rPr>
        <w:rFonts w:ascii="Arial" w:hAnsi="Arial" w:hint="default"/>
      </w:rPr>
    </w:lvl>
    <w:lvl w:ilvl="4" w:tplc="00B68404" w:tentative="1">
      <w:start w:val="1"/>
      <w:numFmt w:val="bullet"/>
      <w:lvlText w:val="•"/>
      <w:lvlJc w:val="left"/>
      <w:pPr>
        <w:tabs>
          <w:tab w:val="num" w:pos="3600"/>
        </w:tabs>
        <w:ind w:left="3600" w:hanging="360"/>
      </w:pPr>
      <w:rPr>
        <w:rFonts w:ascii="Arial" w:hAnsi="Arial" w:hint="default"/>
      </w:rPr>
    </w:lvl>
    <w:lvl w:ilvl="5" w:tplc="32A8B8E0" w:tentative="1">
      <w:start w:val="1"/>
      <w:numFmt w:val="bullet"/>
      <w:lvlText w:val="•"/>
      <w:lvlJc w:val="left"/>
      <w:pPr>
        <w:tabs>
          <w:tab w:val="num" w:pos="4320"/>
        </w:tabs>
        <w:ind w:left="4320" w:hanging="360"/>
      </w:pPr>
      <w:rPr>
        <w:rFonts w:ascii="Arial" w:hAnsi="Arial" w:hint="default"/>
      </w:rPr>
    </w:lvl>
    <w:lvl w:ilvl="6" w:tplc="E6DE4E7C" w:tentative="1">
      <w:start w:val="1"/>
      <w:numFmt w:val="bullet"/>
      <w:lvlText w:val="•"/>
      <w:lvlJc w:val="left"/>
      <w:pPr>
        <w:tabs>
          <w:tab w:val="num" w:pos="5040"/>
        </w:tabs>
        <w:ind w:left="5040" w:hanging="360"/>
      </w:pPr>
      <w:rPr>
        <w:rFonts w:ascii="Arial" w:hAnsi="Arial" w:hint="default"/>
      </w:rPr>
    </w:lvl>
    <w:lvl w:ilvl="7" w:tplc="82E035AE" w:tentative="1">
      <w:start w:val="1"/>
      <w:numFmt w:val="bullet"/>
      <w:lvlText w:val="•"/>
      <w:lvlJc w:val="left"/>
      <w:pPr>
        <w:tabs>
          <w:tab w:val="num" w:pos="5760"/>
        </w:tabs>
        <w:ind w:left="5760" w:hanging="360"/>
      </w:pPr>
      <w:rPr>
        <w:rFonts w:ascii="Arial" w:hAnsi="Arial" w:hint="default"/>
      </w:rPr>
    </w:lvl>
    <w:lvl w:ilvl="8" w:tplc="D430DCB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6037E5D"/>
    <w:multiLevelType w:val="hybridMultilevel"/>
    <w:tmpl w:val="EE106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4F31673"/>
    <w:multiLevelType w:val="hybridMultilevel"/>
    <w:tmpl w:val="BD0C2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106AE6"/>
    <w:multiLevelType w:val="hybridMultilevel"/>
    <w:tmpl w:val="6F9AD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585DE7"/>
    <w:multiLevelType w:val="hybridMultilevel"/>
    <w:tmpl w:val="6C08F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1D964CD"/>
    <w:multiLevelType w:val="hybridMultilevel"/>
    <w:tmpl w:val="B896DD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EC40434"/>
    <w:multiLevelType w:val="hybridMultilevel"/>
    <w:tmpl w:val="22520D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5E64BC"/>
    <w:multiLevelType w:val="hybridMultilevel"/>
    <w:tmpl w:val="B8900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32" w15:restartNumberingAfterBreak="0">
    <w:nsid w:val="67D52E49"/>
    <w:multiLevelType w:val="hybridMultilevel"/>
    <w:tmpl w:val="AAD63E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A691A2D"/>
    <w:multiLevelType w:val="hybridMultilevel"/>
    <w:tmpl w:val="225EDCA0"/>
    <w:lvl w:ilvl="0" w:tplc="18167ECE">
      <w:start w:val="1"/>
      <w:numFmt w:val="decimal"/>
      <w:lvlText w:val="%1)"/>
      <w:lvlJc w:val="left"/>
      <w:pPr>
        <w:tabs>
          <w:tab w:val="num" w:pos="720"/>
        </w:tabs>
        <w:ind w:left="720" w:hanging="360"/>
      </w:pPr>
      <w:rPr>
        <w:rFonts w:asciiTheme="minorHAnsi" w:eastAsiaTheme="minorEastAsia" w:hAnsiTheme="minorHAnsi" w:cstheme="minorBidi" w:hint="default"/>
      </w:rPr>
    </w:lvl>
    <w:lvl w:ilvl="1" w:tplc="7696CA8E">
      <w:start w:val="1"/>
      <w:numFmt w:val="bullet"/>
      <w:lvlText w:val="•"/>
      <w:lvlJc w:val="left"/>
      <w:pPr>
        <w:tabs>
          <w:tab w:val="num" w:pos="1440"/>
        </w:tabs>
        <w:ind w:left="1440" w:hanging="360"/>
      </w:pPr>
      <w:rPr>
        <w:rFonts w:ascii="Arial" w:hAnsi="Arial" w:hint="default"/>
      </w:rPr>
    </w:lvl>
    <w:lvl w:ilvl="2" w:tplc="18167ECE">
      <w:start w:val="1"/>
      <w:numFmt w:val="decimal"/>
      <w:lvlText w:val="%3)"/>
      <w:lvlJc w:val="left"/>
      <w:pPr>
        <w:tabs>
          <w:tab w:val="num" w:pos="2160"/>
        </w:tabs>
        <w:ind w:left="2160" w:hanging="360"/>
      </w:pPr>
      <w:rPr>
        <w:rFonts w:asciiTheme="minorHAnsi" w:eastAsiaTheme="minorEastAsia" w:hAnsiTheme="minorHAnsi" w:cstheme="minorBidi"/>
      </w:rPr>
    </w:lvl>
    <w:lvl w:ilvl="3" w:tplc="93DCCCC0" w:tentative="1">
      <w:start w:val="1"/>
      <w:numFmt w:val="bullet"/>
      <w:lvlText w:val="•"/>
      <w:lvlJc w:val="left"/>
      <w:pPr>
        <w:tabs>
          <w:tab w:val="num" w:pos="2880"/>
        </w:tabs>
        <w:ind w:left="2880" w:hanging="360"/>
      </w:pPr>
      <w:rPr>
        <w:rFonts w:ascii="Arial" w:hAnsi="Arial" w:hint="default"/>
      </w:rPr>
    </w:lvl>
    <w:lvl w:ilvl="4" w:tplc="5AAA9858" w:tentative="1">
      <w:start w:val="1"/>
      <w:numFmt w:val="bullet"/>
      <w:lvlText w:val="•"/>
      <w:lvlJc w:val="left"/>
      <w:pPr>
        <w:tabs>
          <w:tab w:val="num" w:pos="3600"/>
        </w:tabs>
        <w:ind w:left="3600" w:hanging="360"/>
      </w:pPr>
      <w:rPr>
        <w:rFonts w:ascii="Arial" w:hAnsi="Arial" w:hint="default"/>
      </w:rPr>
    </w:lvl>
    <w:lvl w:ilvl="5" w:tplc="E50A70D2" w:tentative="1">
      <w:start w:val="1"/>
      <w:numFmt w:val="bullet"/>
      <w:lvlText w:val="•"/>
      <w:lvlJc w:val="left"/>
      <w:pPr>
        <w:tabs>
          <w:tab w:val="num" w:pos="4320"/>
        </w:tabs>
        <w:ind w:left="4320" w:hanging="360"/>
      </w:pPr>
      <w:rPr>
        <w:rFonts w:ascii="Arial" w:hAnsi="Arial" w:hint="default"/>
      </w:rPr>
    </w:lvl>
    <w:lvl w:ilvl="6" w:tplc="89BC8AD4" w:tentative="1">
      <w:start w:val="1"/>
      <w:numFmt w:val="bullet"/>
      <w:lvlText w:val="•"/>
      <w:lvlJc w:val="left"/>
      <w:pPr>
        <w:tabs>
          <w:tab w:val="num" w:pos="5040"/>
        </w:tabs>
        <w:ind w:left="5040" w:hanging="360"/>
      </w:pPr>
      <w:rPr>
        <w:rFonts w:ascii="Arial" w:hAnsi="Arial" w:hint="default"/>
      </w:rPr>
    </w:lvl>
    <w:lvl w:ilvl="7" w:tplc="6DFAA02C" w:tentative="1">
      <w:start w:val="1"/>
      <w:numFmt w:val="bullet"/>
      <w:lvlText w:val="•"/>
      <w:lvlJc w:val="left"/>
      <w:pPr>
        <w:tabs>
          <w:tab w:val="num" w:pos="5760"/>
        </w:tabs>
        <w:ind w:left="5760" w:hanging="360"/>
      </w:pPr>
      <w:rPr>
        <w:rFonts w:ascii="Arial" w:hAnsi="Arial" w:hint="default"/>
      </w:rPr>
    </w:lvl>
    <w:lvl w:ilvl="8" w:tplc="2A02E6B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CA5DE3"/>
    <w:multiLevelType w:val="hybridMultilevel"/>
    <w:tmpl w:val="36641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78D2321"/>
    <w:multiLevelType w:val="hybridMultilevel"/>
    <w:tmpl w:val="E28A50FC"/>
    <w:lvl w:ilvl="0" w:tplc="65D2B94C">
      <w:start w:val="1"/>
      <w:numFmt w:val="bullet"/>
      <w:lvlText w:val="•"/>
      <w:lvlJc w:val="left"/>
      <w:pPr>
        <w:tabs>
          <w:tab w:val="num" w:pos="720"/>
        </w:tabs>
        <w:ind w:left="720" w:hanging="360"/>
      </w:pPr>
      <w:rPr>
        <w:rFonts w:ascii="Arial" w:hAnsi="Arial" w:hint="default"/>
      </w:rPr>
    </w:lvl>
    <w:lvl w:ilvl="1" w:tplc="0BE6DB3C">
      <w:start w:val="1"/>
      <w:numFmt w:val="bullet"/>
      <w:lvlText w:val="•"/>
      <w:lvlJc w:val="left"/>
      <w:pPr>
        <w:tabs>
          <w:tab w:val="num" w:pos="1440"/>
        </w:tabs>
        <w:ind w:left="1440" w:hanging="360"/>
      </w:pPr>
      <w:rPr>
        <w:rFonts w:ascii="Arial" w:hAnsi="Arial" w:hint="default"/>
      </w:rPr>
    </w:lvl>
    <w:lvl w:ilvl="2" w:tplc="4E7EB7CA" w:tentative="1">
      <w:start w:val="1"/>
      <w:numFmt w:val="bullet"/>
      <w:lvlText w:val="•"/>
      <w:lvlJc w:val="left"/>
      <w:pPr>
        <w:tabs>
          <w:tab w:val="num" w:pos="2160"/>
        </w:tabs>
        <w:ind w:left="2160" w:hanging="360"/>
      </w:pPr>
      <w:rPr>
        <w:rFonts w:ascii="Arial" w:hAnsi="Arial" w:hint="default"/>
      </w:rPr>
    </w:lvl>
    <w:lvl w:ilvl="3" w:tplc="38EC36C0" w:tentative="1">
      <w:start w:val="1"/>
      <w:numFmt w:val="bullet"/>
      <w:lvlText w:val="•"/>
      <w:lvlJc w:val="left"/>
      <w:pPr>
        <w:tabs>
          <w:tab w:val="num" w:pos="2880"/>
        </w:tabs>
        <w:ind w:left="2880" w:hanging="360"/>
      </w:pPr>
      <w:rPr>
        <w:rFonts w:ascii="Arial" w:hAnsi="Arial" w:hint="default"/>
      </w:rPr>
    </w:lvl>
    <w:lvl w:ilvl="4" w:tplc="F5042FE8" w:tentative="1">
      <w:start w:val="1"/>
      <w:numFmt w:val="bullet"/>
      <w:lvlText w:val="•"/>
      <w:lvlJc w:val="left"/>
      <w:pPr>
        <w:tabs>
          <w:tab w:val="num" w:pos="3600"/>
        </w:tabs>
        <w:ind w:left="3600" w:hanging="360"/>
      </w:pPr>
      <w:rPr>
        <w:rFonts w:ascii="Arial" w:hAnsi="Arial" w:hint="default"/>
      </w:rPr>
    </w:lvl>
    <w:lvl w:ilvl="5" w:tplc="435A39D6" w:tentative="1">
      <w:start w:val="1"/>
      <w:numFmt w:val="bullet"/>
      <w:lvlText w:val="•"/>
      <w:lvlJc w:val="left"/>
      <w:pPr>
        <w:tabs>
          <w:tab w:val="num" w:pos="4320"/>
        </w:tabs>
        <w:ind w:left="4320" w:hanging="360"/>
      </w:pPr>
      <w:rPr>
        <w:rFonts w:ascii="Arial" w:hAnsi="Arial" w:hint="default"/>
      </w:rPr>
    </w:lvl>
    <w:lvl w:ilvl="6" w:tplc="3E8C0C78" w:tentative="1">
      <w:start w:val="1"/>
      <w:numFmt w:val="bullet"/>
      <w:lvlText w:val="•"/>
      <w:lvlJc w:val="left"/>
      <w:pPr>
        <w:tabs>
          <w:tab w:val="num" w:pos="5040"/>
        </w:tabs>
        <w:ind w:left="5040" w:hanging="360"/>
      </w:pPr>
      <w:rPr>
        <w:rFonts w:ascii="Arial" w:hAnsi="Arial" w:hint="default"/>
      </w:rPr>
    </w:lvl>
    <w:lvl w:ilvl="7" w:tplc="A6242FB2" w:tentative="1">
      <w:start w:val="1"/>
      <w:numFmt w:val="bullet"/>
      <w:lvlText w:val="•"/>
      <w:lvlJc w:val="left"/>
      <w:pPr>
        <w:tabs>
          <w:tab w:val="num" w:pos="5760"/>
        </w:tabs>
        <w:ind w:left="5760" w:hanging="360"/>
      </w:pPr>
      <w:rPr>
        <w:rFonts w:ascii="Arial" w:hAnsi="Arial" w:hint="default"/>
      </w:rPr>
    </w:lvl>
    <w:lvl w:ilvl="8" w:tplc="1378512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09502F"/>
    <w:multiLevelType w:val="hybridMultilevel"/>
    <w:tmpl w:val="AB80CE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A9671C"/>
    <w:multiLevelType w:val="hybridMultilevel"/>
    <w:tmpl w:val="B76E8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0"/>
  </w:num>
  <w:num w:numId="3">
    <w:abstractNumId w:val="3"/>
  </w:num>
  <w:num w:numId="4">
    <w:abstractNumId w:val="1"/>
  </w:num>
  <w:num w:numId="5">
    <w:abstractNumId w:val="17"/>
  </w:num>
  <w:num w:numId="6">
    <w:abstractNumId w:val="30"/>
  </w:num>
  <w:num w:numId="7">
    <w:abstractNumId w:val="23"/>
  </w:num>
  <w:num w:numId="8">
    <w:abstractNumId w:val="35"/>
  </w:num>
  <w:num w:numId="9">
    <w:abstractNumId w:val="28"/>
  </w:num>
  <w:num w:numId="10">
    <w:abstractNumId w:val="0"/>
  </w:num>
  <w:num w:numId="11">
    <w:abstractNumId w:val="11"/>
  </w:num>
  <w:num w:numId="12">
    <w:abstractNumId w:val="31"/>
  </w:num>
  <w:num w:numId="13">
    <w:abstractNumId w:val="39"/>
  </w:num>
  <w:num w:numId="14">
    <w:abstractNumId w:val="37"/>
  </w:num>
  <w:num w:numId="15">
    <w:abstractNumId w:val="15"/>
  </w:num>
  <w:num w:numId="16">
    <w:abstractNumId w:val="25"/>
  </w:num>
  <w:num w:numId="17">
    <w:abstractNumId w:val="2"/>
  </w:num>
  <w:num w:numId="18">
    <w:abstractNumId w:val="14"/>
  </w:num>
  <w:num w:numId="19">
    <w:abstractNumId w:val="29"/>
  </w:num>
  <w:num w:numId="20">
    <w:abstractNumId w:val="16"/>
  </w:num>
  <w:num w:numId="21">
    <w:abstractNumId w:val="21"/>
  </w:num>
  <w:num w:numId="22">
    <w:abstractNumId w:val="13"/>
  </w:num>
  <w:num w:numId="23">
    <w:abstractNumId w:val="4"/>
  </w:num>
  <w:num w:numId="24">
    <w:abstractNumId w:val="33"/>
  </w:num>
  <w:num w:numId="25">
    <w:abstractNumId w:val="10"/>
  </w:num>
  <w:num w:numId="26">
    <w:abstractNumId w:val="6"/>
  </w:num>
  <w:num w:numId="27">
    <w:abstractNumId w:val="24"/>
  </w:num>
  <w:num w:numId="28">
    <w:abstractNumId w:val="8"/>
  </w:num>
  <w:num w:numId="29">
    <w:abstractNumId w:val="38"/>
  </w:num>
  <w:num w:numId="30">
    <w:abstractNumId w:val="5"/>
  </w:num>
  <w:num w:numId="31">
    <w:abstractNumId w:val="36"/>
  </w:num>
  <w:num w:numId="32">
    <w:abstractNumId w:val="19"/>
  </w:num>
  <w:num w:numId="33">
    <w:abstractNumId w:val="18"/>
  </w:num>
  <w:num w:numId="34">
    <w:abstractNumId w:val="32"/>
  </w:num>
  <w:num w:numId="35">
    <w:abstractNumId w:val="7"/>
  </w:num>
  <w:num w:numId="36">
    <w:abstractNumId w:val="22"/>
  </w:num>
  <w:num w:numId="37">
    <w:abstractNumId w:val="26"/>
  </w:num>
  <w:num w:numId="38">
    <w:abstractNumId w:val="9"/>
  </w:num>
  <w:num w:numId="39">
    <w:abstractNumId w:val="27"/>
  </w:num>
  <w:num w:numId="4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0A0"/>
    <w:rsid w:val="0000719E"/>
    <w:rsid w:val="000074C4"/>
    <w:rsid w:val="00010086"/>
    <w:rsid w:val="00010823"/>
    <w:rsid w:val="00010D4A"/>
    <w:rsid w:val="000116F3"/>
    <w:rsid w:val="00011779"/>
    <w:rsid w:val="00011868"/>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AE"/>
    <w:rsid w:val="00032920"/>
    <w:rsid w:val="000329E1"/>
    <w:rsid w:val="00032EFF"/>
    <w:rsid w:val="00033135"/>
    <w:rsid w:val="00033193"/>
    <w:rsid w:val="000339EA"/>
    <w:rsid w:val="00033DDE"/>
    <w:rsid w:val="00033EF5"/>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89A"/>
    <w:rsid w:val="00074C1F"/>
    <w:rsid w:val="00074EC2"/>
    <w:rsid w:val="0007548F"/>
    <w:rsid w:val="00075995"/>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6D03"/>
    <w:rsid w:val="0008734C"/>
    <w:rsid w:val="00087858"/>
    <w:rsid w:val="00087E61"/>
    <w:rsid w:val="00090073"/>
    <w:rsid w:val="00090ED4"/>
    <w:rsid w:val="000917DB"/>
    <w:rsid w:val="00091F15"/>
    <w:rsid w:val="00091F51"/>
    <w:rsid w:val="0009343C"/>
    <w:rsid w:val="000934B5"/>
    <w:rsid w:val="00093B47"/>
    <w:rsid w:val="0009408B"/>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4D1"/>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5B84"/>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7E1"/>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C5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9F6"/>
    <w:rsid w:val="00103E62"/>
    <w:rsid w:val="00104279"/>
    <w:rsid w:val="00104623"/>
    <w:rsid w:val="00105358"/>
    <w:rsid w:val="00105D0A"/>
    <w:rsid w:val="00105D4D"/>
    <w:rsid w:val="00105FE2"/>
    <w:rsid w:val="0010602F"/>
    <w:rsid w:val="0010616E"/>
    <w:rsid w:val="0010668E"/>
    <w:rsid w:val="00106AF9"/>
    <w:rsid w:val="001070B7"/>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E2D"/>
    <w:rsid w:val="001260AD"/>
    <w:rsid w:val="001272D7"/>
    <w:rsid w:val="001273A9"/>
    <w:rsid w:val="0012745D"/>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B0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1CAE"/>
    <w:rsid w:val="001729D3"/>
    <w:rsid w:val="00172DC0"/>
    <w:rsid w:val="0017329A"/>
    <w:rsid w:val="00173BAD"/>
    <w:rsid w:val="00173DDA"/>
    <w:rsid w:val="00173F96"/>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800"/>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08E"/>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AB1"/>
    <w:rsid w:val="001E6CF5"/>
    <w:rsid w:val="001E7244"/>
    <w:rsid w:val="001E72A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A90"/>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9DF"/>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071"/>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2B"/>
    <w:rsid w:val="0022066D"/>
    <w:rsid w:val="0022086B"/>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C87"/>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B7F"/>
    <w:rsid w:val="00262D8D"/>
    <w:rsid w:val="0026334E"/>
    <w:rsid w:val="002634D4"/>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3C1"/>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95F"/>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20"/>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D7DCD"/>
    <w:rsid w:val="002E03A9"/>
    <w:rsid w:val="002E054C"/>
    <w:rsid w:val="002E0814"/>
    <w:rsid w:val="002E08F5"/>
    <w:rsid w:val="002E1C71"/>
    <w:rsid w:val="002E1D5A"/>
    <w:rsid w:val="002E1DA5"/>
    <w:rsid w:val="002E2E08"/>
    <w:rsid w:val="002E35DC"/>
    <w:rsid w:val="002E4C7F"/>
    <w:rsid w:val="002E4F10"/>
    <w:rsid w:val="002E5152"/>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709"/>
    <w:rsid w:val="00332A58"/>
    <w:rsid w:val="00333185"/>
    <w:rsid w:val="00333319"/>
    <w:rsid w:val="00333594"/>
    <w:rsid w:val="00333E46"/>
    <w:rsid w:val="0033404E"/>
    <w:rsid w:val="0033464F"/>
    <w:rsid w:val="00334AA0"/>
    <w:rsid w:val="00334C64"/>
    <w:rsid w:val="00334FCF"/>
    <w:rsid w:val="003350C7"/>
    <w:rsid w:val="00335473"/>
    <w:rsid w:val="00335F0B"/>
    <w:rsid w:val="00336B61"/>
    <w:rsid w:val="003370DD"/>
    <w:rsid w:val="0033715B"/>
    <w:rsid w:val="00340EC0"/>
    <w:rsid w:val="00340FB3"/>
    <w:rsid w:val="0034111C"/>
    <w:rsid w:val="003411BB"/>
    <w:rsid w:val="003412C8"/>
    <w:rsid w:val="00341AF3"/>
    <w:rsid w:val="00341B77"/>
    <w:rsid w:val="0034222E"/>
    <w:rsid w:val="003429AC"/>
    <w:rsid w:val="00342E17"/>
    <w:rsid w:val="00342E44"/>
    <w:rsid w:val="00343619"/>
    <w:rsid w:val="0034371C"/>
    <w:rsid w:val="00343854"/>
    <w:rsid w:val="00343FE8"/>
    <w:rsid w:val="00344442"/>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12B"/>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0A4"/>
    <w:rsid w:val="0036294F"/>
    <w:rsid w:val="0036408B"/>
    <w:rsid w:val="003642A6"/>
    <w:rsid w:val="00364347"/>
    <w:rsid w:val="003649D3"/>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2D81"/>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2F"/>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279F"/>
    <w:rsid w:val="003E32E1"/>
    <w:rsid w:val="003E3655"/>
    <w:rsid w:val="003E368E"/>
    <w:rsid w:val="003E3963"/>
    <w:rsid w:val="003E3FD0"/>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46"/>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45F"/>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182"/>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87E0D"/>
    <w:rsid w:val="00490B88"/>
    <w:rsid w:val="00490BE2"/>
    <w:rsid w:val="00491695"/>
    <w:rsid w:val="0049178A"/>
    <w:rsid w:val="004918A2"/>
    <w:rsid w:val="00492CF8"/>
    <w:rsid w:val="004932B2"/>
    <w:rsid w:val="00493771"/>
    <w:rsid w:val="00493F45"/>
    <w:rsid w:val="00494461"/>
    <w:rsid w:val="004948FD"/>
    <w:rsid w:val="00495979"/>
    <w:rsid w:val="00495D35"/>
    <w:rsid w:val="00495FCE"/>
    <w:rsid w:val="004960FF"/>
    <w:rsid w:val="004962A9"/>
    <w:rsid w:val="004966C3"/>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DC6"/>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5EE"/>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2C68"/>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383F"/>
    <w:rsid w:val="004F452D"/>
    <w:rsid w:val="004F4ED7"/>
    <w:rsid w:val="004F53B8"/>
    <w:rsid w:val="004F5835"/>
    <w:rsid w:val="004F5B88"/>
    <w:rsid w:val="004F5C6B"/>
    <w:rsid w:val="004F5C7E"/>
    <w:rsid w:val="004F64EC"/>
    <w:rsid w:val="004F72FD"/>
    <w:rsid w:val="004F76E2"/>
    <w:rsid w:val="004F7890"/>
    <w:rsid w:val="00500815"/>
    <w:rsid w:val="00501B1E"/>
    <w:rsid w:val="005023B2"/>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819"/>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58B3"/>
    <w:rsid w:val="0052602F"/>
    <w:rsid w:val="00527A83"/>
    <w:rsid w:val="00527A8E"/>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48FD"/>
    <w:rsid w:val="00535022"/>
    <w:rsid w:val="0053541F"/>
    <w:rsid w:val="00535467"/>
    <w:rsid w:val="00535E21"/>
    <w:rsid w:val="005368DE"/>
    <w:rsid w:val="00537CBB"/>
    <w:rsid w:val="00540BBE"/>
    <w:rsid w:val="00541403"/>
    <w:rsid w:val="0054246B"/>
    <w:rsid w:val="005424D2"/>
    <w:rsid w:val="00543C04"/>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9F7"/>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14E"/>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628"/>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247"/>
    <w:rsid w:val="005B0319"/>
    <w:rsid w:val="005B0472"/>
    <w:rsid w:val="005B10D4"/>
    <w:rsid w:val="005B1651"/>
    <w:rsid w:val="005B165C"/>
    <w:rsid w:val="005B1957"/>
    <w:rsid w:val="005B1ACF"/>
    <w:rsid w:val="005B1B24"/>
    <w:rsid w:val="005B1F27"/>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C7F0B"/>
    <w:rsid w:val="005D0100"/>
    <w:rsid w:val="005D05E3"/>
    <w:rsid w:val="005D0890"/>
    <w:rsid w:val="005D0D24"/>
    <w:rsid w:val="005D100E"/>
    <w:rsid w:val="005D10BA"/>
    <w:rsid w:val="005D1447"/>
    <w:rsid w:val="005D186D"/>
    <w:rsid w:val="005D198E"/>
    <w:rsid w:val="005D22A1"/>
    <w:rsid w:val="005D332F"/>
    <w:rsid w:val="005D353F"/>
    <w:rsid w:val="005D36FD"/>
    <w:rsid w:val="005D39A4"/>
    <w:rsid w:val="005D3B3E"/>
    <w:rsid w:val="005D4892"/>
    <w:rsid w:val="005D5435"/>
    <w:rsid w:val="005D5B3C"/>
    <w:rsid w:val="005D61F6"/>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65A"/>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5FC"/>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102"/>
    <w:rsid w:val="00617E64"/>
    <w:rsid w:val="00617F8F"/>
    <w:rsid w:val="006200B4"/>
    <w:rsid w:val="0062021A"/>
    <w:rsid w:val="006202B1"/>
    <w:rsid w:val="006209AA"/>
    <w:rsid w:val="006209EE"/>
    <w:rsid w:val="00621263"/>
    <w:rsid w:val="0062164D"/>
    <w:rsid w:val="00621770"/>
    <w:rsid w:val="006218C7"/>
    <w:rsid w:val="00621DFE"/>
    <w:rsid w:val="0062215F"/>
    <w:rsid w:val="00622702"/>
    <w:rsid w:val="0062286A"/>
    <w:rsid w:val="00622F66"/>
    <w:rsid w:val="006230F7"/>
    <w:rsid w:val="006235FC"/>
    <w:rsid w:val="00625BD0"/>
    <w:rsid w:val="00625EE2"/>
    <w:rsid w:val="00626381"/>
    <w:rsid w:val="0062640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57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FF1"/>
    <w:rsid w:val="006731C4"/>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7793D"/>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180"/>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1EE5"/>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81"/>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795"/>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15"/>
    <w:rsid w:val="00723585"/>
    <w:rsid w:val="00724375"/>
    <w:rsid w:val="0072442F"/>
    <w:rsid w:val="00724849"/>
    <w:rsid w:val="007253FE"/>
    <w:rsid w:val="00726200"/>
    <w:rsid w:val="00726285"/>
    <w:rsid w:val="00726344"/>
    <w:rsid w:val="00726439"/>
    <w:rsid w:val="00726C6F"/>
    <w:rsid w:val="00727DF5"/>
    <w:rsid w:val="00727FD1"/>
    <w:rsid w:val="00731A4B"/>
    <w:rsid w:val="00731F3E"/>
    <w:rsid w:val="00733392"/>
    <w:rsid w:val="0073413F"/>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ED5"/>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444"/>
    <w:rsid w:val="00776A22"/>
    <w:rsid w:val="00776C35"/>
    <w:rsid w:val="007770D2"/>
    <w:rsid w:val="00777654"/>
    <w:rsid w:val="00777A30"/>
    <w:rsid w:val="007808BA"/>
    <w:rsid w:val="0078134E"/>
    <w:rsid w:val="007821E8"/>
    <w:rsid w:val="0078241D"/>
    <w:rsid w:val="007827EE"/>
    <w:rsid w:val="00782AEA"/>
    <w:rsid w:val="00783708"/>
    <w:rsid w:val="00783B25"/>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3B8"/>
    <w:rsid w:val="00797B5D"/>
    <w:rsid w:val="00797F10"/>
    <w:rsid w:val="00797FC7"/>
    <w:rsid w:val="007A037B"/>
    <w:rsid w:val="007A049F"/>
    <w:rsid w:val="007A07D8"/>
    <w:rsid w:val="007A095B"/>
    <w:rsid w:val="007A0A67"/>
    <w:rsid w:val="007A0D1C"/>
    <w:rsid w:val="007A13E6"/>
    <w:rsid w:val="007A27C8"/>
    <w:rsid w:val="007A28C3"/>
    <w:rsid w:val="007A2FB8"/>
    <w:rsid w:val="007A3167"/>
    <w:rsid w:val="007A3357"/>
    <w:rsid w:val="007A3BD5"/>
    <w:rsid w:val="007A44DC"/>
    <w:rsid w:val="007A47B1"/>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1F27"/>
    <w:rsid w:val="007C2086"/>
    <w:rsid w:val="007C2235"/>
    <w:rsid w:val="007C2739"/>
    <w:rsid w:val="007C27F7"/>
    <w:rsid w:val="007C2D4C"/>
    <w:rsid w:val="007C3162"/>
    <w:rsid w:val="007C3550"/>
    <w:rsid w:val="007C37F1"/>
    <w:rsid w:val="007C421B"/>
    <w:rsid w:val="007C49E1"/>
    <w:rsid w:val="007C4F84"/>
    <w:rsid w:val="007C528F"/>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93E"/>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165"/>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2D1"/>
    <w:rsid w:val="007F58C9"/>
    <w:rsid w:val="007F617E"/>
    <w:rsid w:val="007F62FD"/>
    <w:rsid w:val="007F6BC4"/>
    <w:rsid w:val="007F7441"/>
    <w:rsid w:val="007F77A2"/>
    <w:rsid w:val="007F7852"/>
    <w:rsid w:val="007F7B07"/>
    <w:rsid w:val="00800257"/>
    <w:rsid w:val="008009CB"/>
    <w:rsid w:val="008012D1"/>
    <w:rsid w:val="0080153E"/>
    <w:rsid w:val="00802240"/>
    <w:rsid w:val="008024BB"/>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2228"/>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1F"/>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0FA2"/>
    <w:rsid w:val="0085158E"/>
    <w:rsid w:val="00851AB3"/>
    <w:rsid w:val="00852137"/>
    <w:rsid w:val="0085231C"/>
    <w:rsid w:val="0085264B"/>
    <w:rsid w:val="008528FA"/>
    <w:rsid w:val="00852C83"/>
    <w:rsid w:val="0085321D"/>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537"/>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2F80"/>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895"/>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2FE"/>
    <w:rsid w:val="008C15E1"/>
    <w:rsid w:val="008C178D"/>
    <w:rsid w:val="008C1912"/>
    <w:rsid w:val="008C2186"/>
    <w:rsid w:val="008C22E1"/>
    <w:rsid w:val="008C24DA"/>
    <w:rsid w:val="008C2A51"/>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03C"/>
    <w:rsid w:val="008E041E"/>
    <w:rsid w:val="008E0F52"/>
    <w:rsid w:val="008E135B"/>
    <w:rsid w:val="008E14D7"/>
    <w:rsid w:val="008E20F9"/>
    <w:rsid w:val="008E22E8"/>
    <w:rsid w:val="008E2343"/>
    <w:rsid w:val="008E2A18"/>
    <w:rsid w:val="008E2DB4"/>
    <w:rsid w:val="008E2FC7"/>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62A"/>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29E"/>
    <w:rsid w:val="009063E6"/>
    <w:rsid w:val="0090653B"/>
    <w:rsid w:val="00906AF6"/>
    <w:rsid w:val="00907259"/>
    <w:rsid w:val="009072D4"/>
    <w:rsid w:val="00907E0A"/>
    <w:rsid w:val="0091019E"/>
    <w:rsid w:val="00910AFF"/>
    <w:rsid w:val="00911609"/>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647"/>
    <w:rsid w:val="009237FA"/>
    <w:rsid w:val="0092385F"/>
    <w:rsid w:val="009238B7"/>
    <w:rsid w:val="00923E6E"/>
    <w:rsid w:val="00924457"/>
    <w:rsid w:val="009244E1"/>
    <w:rsid w:val="0092488D"/>
    <w:rsid w:val="00925230"/>
    <w:rsid w:val="009256D9"/>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C5F"/>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400"/>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3A1"/>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92"/>
    <w:rsid w:val="009A47F9"/>
    <w:rsid w:val="009A4BE6"/>
    <w:rsid w:val="009A617A"/>
    <w:rsid w:val="009A6416"/>
    <w:rsid w:val="009A64C2"/>
    <w:rsid w:val="009A69C2"/>
    <w:rsid w:val="009A6C80"/>
    <w:rsid w:val="009A6E4A"/>
    <w:rsid w:val="009A6E57"/>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116"/>
    <w:rsid w:val="009B43CD"/>
    <w:rsid w:val="009B4402"/>
    <w:rsid w:val="009B52DA"/>
    <w:rsid w:val="009B5455"/>
    <w:rsid w:val="009B54D7"/>
    <w:rsid w:val="009B5510"/>
    <w:rsid w:val="009B5530"/>
    <w:rsid w:val="009B5952"/>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B0E"/>
    <w:rsid w:val="009D1CE4"/>
    <w:rsid w:val="009D2283"/>
    <w:rsid w:val="009D2729"/>
    <w:rsid w:val="009D29AD"/>
    <w:rsid w:val="009D3196"/>
    <w:rsid w:val="009D3557"/>
    <w:rsid w:val="009D38DD"/>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9E7"/>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2A92"/>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5FBD"/>
    <w:rsid w:val="00A16419"/>
    <w:rsid w:val="00A1729F"/>
    <w:rsid w:val="00A17410"/>
    <w:rsid w:val="00A2024B"/>
    <w:rsid w:val="00A20D44"/>
    <w:rsid w:val="00A20E84"/>
    <w:rsid w:val="00A210B5"/>
    <w:rsid w:val="00A2186C"/>
    <w:rsid w:val="00A21B13"/>
    <w:rsid w:val="00A22CD3"/>
    <w:rsid w:val="00A22DFE"/>
    <w:rsid w:val="00A23174"/>
    <w:rsid w:val="00A23A7D"/>
    <w:rsid w:val="00A23BF2"/>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5D0"/>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83A"/>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20B"/>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0F0C"/>
    <w:rsid w:val="00A918E6"/>
    <w:rsid w:val="00A91E24"/>
    <w:rsid w:val="00A91F16"/>
    <w:rsid w:val="00A92FB2"/>
    <w:rsid w:val="00A938E6"/>
    <w:rsid w:val="00A93B69"/>
    <w:rsid w:val="00A93FE5"/>
    <w:rsid w:val="00A940D0"/>
    <w:rsid w:val="00A943B4"/>
    <w:rsid w:val="00A9520A"/>
    <w:rsid w:val="00A9537B"/>
    <w:rsid w:val="00A9542F"/>
    <w:rsid w:val="00A95DE6"/>
    <w:rsid w:val="00A9635C"/>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32C"/>
    <w:rsid w:val="00AA5718"/>
    <w:rsid w:val="00AA5864"/>
    <w:rsid w:val="00AA58E9"/>
    <w:rsid w:val="00AA5F58"/>
    <w:rsid w:val="00AA61D6"/>
    <w:rsid w:val="00AA64A1"/>
    <w:rsid w:val="00AA66D3"/>
    <w:rsid w:val="00AA6AEB"/>
    <w:rsid w:val="00AA6C41"/>
    <w:rsid w:val="00AA6C91"/>
    <w:rsid w:val="00AA713E"/>
    <w:rsid w:val="00AA7933"/>
    <w:rsid w:val="00AA7B4F"/>
    <w:rsid w:val="00AA7F60"/>
    <w:rsid w:val="00AB0376"/>
    <w:rsid w:val="00AB068D"/>
    <w:rsid w:val="00AB071F"/>
    <w:rsid w:val="00AB0B0A"/>
    <w:rsid w:val="00AB1143"/>
    <w:rsid w:val="00AB1FCC"/>
    <w:rsid w:val="00AB2409"/>
    <w:rsid w:val="00AB2452"/>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30A"/>
    <w:rsid w:val="00AC3803"/>
    <w:rsid w:val="00AC3D37"/>
    <w:rsid w:val="00AC4A8C"/>
    <w:rsid w:val="00AC5065"/>
    <w:rsid w:val="00AC5746"/>
    <w:rsid w:val="00AC589B"/>
    <w:rsid w:val="00AC5F02"/>
    <w:rsid w:val="00AC6C8E"/>
    <w:rsid w:val="00AC6F34"/>
    <w:rsid w:val="00AC70B0"/>
    <w:rsid w:val="00AC7460"/>
    <w:rsid w:val="00AC7AE1"/>
    <w:rsid w:val="00AD0C33"/>
    <w:rsid w:val="00AD0E0E"/>
    <w:rsid w:val="00AD0E18"/>
    <w:rsid w:val="00AD1227"/>
    <w:rsid w:val="00AD144C"/>
    <w:rsid w:val="00AD18C6"/>
    <w:rsid w:val="00AD1F4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59B"/>
    <w:rsid w:val="00B04AB1"/>
    <w:rsid w:val="00B04E18"/>
    <w:rsid w:val="00B05903"/>
    <w:rsid w:val="00B05FA4"/>
    <w:rsid w:val="00B061DB"/>
    <w:rsid w:val="00B06A17"/>
    <w:rsid w:val="00B06ED6"/>
    <w:rsid w:val="00B0739A"/>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BA"/>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4FE"/>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28"/>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1EBE"/>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1CC"/>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737"/>
    <w:rsid w:val="00BA3E3E"/>
    <w:rsid w:val="00BA4BE0"/>
    <w:rsid w:val="00BA546D"/>
    <w:rsid w:val="00BA5E52"/>
    <w:rsid w:val="00BA6367"/>
    <w:rsid w:val="00BA6446"/>
    <w:rsid w:val="00BA668E"/>
    <w:rsid w:val="00BA675F"/>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2CE"/>
    <w:rsid w:val="00BC15FA"/>
    <w:rsid w:val="00BC2158"/>
    <w:rsid w:val="00BC21A5"/>
    <w:rsid w:val="00BC2762"/>
    <w:rsid w:val="00BC330C"/>
    <w:rsid w:val="00BC3759"/>
    <w:rsid w:val="00BC3841"/>
    <w:rsid w:val="00BC3CA2"/>
    <w:rsid w:val="00BC401B"/>
    <w:rsid w:val="00BC5104"/>
    <w:rsid w:val="00BC5111"/>
    <w:rsid w:val="00BC5AA7"/>
    <w:rsid w:val="00BC6343"/>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2FEE"/>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E71F7"/>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4B44"/>
    <w:rsid w:val="00C1522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07C"/>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4A1"/>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6BA"/>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DFC"/>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884"/>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0B1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2D2"/>
    <w:rsid w:val="00CB64CB"/>
    <w:rsid w:val="00CB70DE"/>
    <w:rsid w:val="00CB717C"/>
    <w:rsid w:val="00CB7A2D"/>
    <w:rsid w:val="00CC0018"/>
    <w:rsid w:val="00CC06F4"/>
    <w:rsid w:val="00CC0AC4"/>
    <w:rsid w:val="00CC0B75"/>
    <w:rsid w:val="00CC198B"/>
    <w:rsid w:val="00CC19A9"/>
    <w:rsid w:val="00CC2635"/>
    <w:rsid w:val="00CC2AE9"/>
    <w:rsid w:val="00CC3575"/>
    <w:rsid w:val="00CC36DB"/>
    <w:rsid w:val="00CC3D1B"/>
    <w:rsid w:val="00CC3F10"/>
    <w:rsid w:val="00CC4583"/>
    <w:rsid w:val="00CC55CE"/>
    <w:rsid w:val="00CC5D0C"/>
    <w:rsid w:val="00CC5E1E"/>
    <w:rsid w:val="00CC5EB5"/>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596B"/>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7DD"/>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4D89"/>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129"/>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2B"/>
    <w:rsid w:val="00D57E70"/>
    <w:rsid w:val="00D603DD"/>
    <w:rsid w:val="00D6048B"/>
    <w:rsid w:val="00D60745"/>
    <w:rsid w:val="00D609C6"/>
    <w:rsid w:val="00D60AE2"/>
    <w:rsid w:val="00D60EEB"/>
    <w:rsid w:val="00D6349E"/>
    <w:rsid w:val="00D6353C"/>
    <w:rsid w:val="00D63919"/>
    <w:rsid w:val="00D640CB"/>
    <w:rsid w:val="00D644F5"/>
    <w:rsid w:val="00D64617"/>
    <w:rsid w:val="00D64E5E"/>
    <w:rsid w:val="00D65BA8"/>
    <w:rsid w:val="00D65D4C"/>
    <w:rsid w:val="00D65E2A"/>
    <w:rsid w:val="00D6605C"/>
    <w:rsid w:val="00D666F2"/>
    <w:rsid w:val="00D6728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27D"/>
    <w:rsid w:val="00D95982"/>
    <w:rsid w:val="00D964D5"/>
    <w:rsid w:val="00D96D73"/>
    <w:rsid w:val="00D9716A"/>
    <w:rsid w:val="00D97DAE"/>
    <w:rsid w:val="00D97F1B"/>
    <w:rsid w:val="00DA0048"/>
    <w:rsid w:val="00DA0070"/>
    <w:rsid w:val="00DA04BE"/>
    <w:rsid w:val="00DA0691"/>
    <w:rsid w:val="00DA06F9"/>
    <w:rsid w:val="00DA08A7"/>
    <w:rsid w:val="00DA0AC3"/>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3AD"/>
    <w:rsid w:val="00DA587A"/>
    <w:rsid w:val="00DA610D"/>
    <w:rsid w:val="00DA6729"/>
    <w:rsid w:val="00DA6751"/>
    <w:rsid w:val="00DA6898"/>
    <w:rsid w:val="00DA6B33"/>
    <w:rsid w:val="00DA6F24"/>
    <w:rsid w:val="00DA73F2"/>
    <w:rsid w:val="00DA7683"/>
    <w:rsid w:val="00DA77A0"/>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2FF"/>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1AE"/>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6BF"/>
    <w:rsid w:val="00DF3DD5"/>
    <w:rsid w:val="00DF42F3"/>
    <w:rsid w:val="00DF4F9B"/>
    <w:rsid w:val="00DF574A"/>
    <w:rsid w:val="00DF62B6"/>
    <w:rsid w:val="00DF63EF"/>
    <w:rsid w:val="00DF649D"/>
    <w:rsid w:val="00DF6717"/>
    <w:rsid w:val="00DF7649"/>
    <w:rsid w:val="00DF76D5"/>
    <w:rsid w:val="00DF782F"/>
    <w:rsid w:val="00E00405"/>
    <w:rsid w:val="00E00B57"/>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27EB9"/>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A68"/>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DB9"/>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96F"/>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97B"/>
    <w:rsid w:val="00EF3325"/>
    <w:rsid w:val="00EF3390"/>
    <w:rsid w:val="00EF3499"/>
    <w:rsid w:val="00EF47C7"/>
    <w:rsid w:val="00EF5A32"/>
    <w:rsid w:val="00EF5B80"/>
    <w:rsid w:val="00EF6954"/>
    <w:rsid w:val="00EF7B81"/>
    <w:rsid w:val="00F005DA"/>
    <w:rsid w:val="00F00766"/>
    <w:rsid w:val="00F00BEB"/>
    <w:rsid w:val="00F00CE2"/>
    <w:rsid w:val="00F00D60"/>
    <w:rsid w:val="00F01450"/>
    <w:rsid w:val="00F01535"/>
    <w:rsid w:val="00F029BF"/>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56B"/>
    <w:rsid w:val="00F349F2"/>
    <w:rsid w:val="00F34B09"/>
    <w:rsid w:val="00F3562C"/>
    <w:rsid w:val="00F3680A"/>
    <w:rsid w:val="00F3697A"/>
    <w:rsid w:val="00F37392"/>
    <w:rsid w:val="00F37B13"/>
    <w:rsid w:val="00F401B1"/>
    <w:rsid w:val="00F40A10"/>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0DD"/>
    <w:rsid w:val="00F4713C"/>
    <w:rsid w:val="00F472A3"/>
    <w:rsid w:val="00F472CD"/>
    <w:rsid w:val="00F476C9"/>
    <w:rsid w:val="00F47A26"/>
    <w:rsid w:val="00F5006C"/>
    <w:rsid w:val="00F50CBD"/>
    <w:rsid w:val="00F50F2A"/>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68"/>
    <w:rsid w:val="00F65FFC"/>
    <w:rsid w:val="00F669B1"/>
    <w:rsid w:val="00F66BB4"/>
    <w:rsid w:val="00F66D26"/>
    <w:rsid w:val="00F66E86"/>
    <w:rsid w:val="00F671DB"/>
    <w:rsid w:val="00F6720C"/>
    <w:rsid w:val="00F679DA"/>
    <w:rsid w:val="00F703DB"/>
    <w:rsid w:val="00F7081F"/>
    <w:rsid w:val="00F7082C"/>
    <w:rsid w:val="00F70C09"/>
    <w:rsid w:val="00F71595"/>
    <w:rsid w:val="00F71FA3"/>
    <w:rsid w:val="00F72A16"/>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74A"/>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43"/>
    <w:rsid w:val="00FB03A1"/>
    <w:rsid w:val="00FB06CC"/>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4F6F"/>
    <w:rsid w:val="00FC55E5"/>
    <w:rsid w:val="00FC57BB"/>
    <w:rsid w:val="00FC59C4"/>
    <w:rsid w:val="00FC5E56"/>
    <w:rsid w:val="00FC604E"/>
    <w:rsid w:val="00FC6451"/>
    <w:rsid w:val="00FC6587"/>
    <w:rsid w:val="00FC67F5"/>
    <w:rsid w:val="00FC6ABE"/>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31"/>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737"/>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0B57"/>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00B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0B5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R4_bullets,列表段落1,—ño’i—Ž,¥¡¡¡¡ì¬º¥¹¥È¶ÎÂä,ÁÐ³ö¶ÎÂä,¥ê¥¹¥È¶ÎÂä,1st level - Bullet List Paragraph,Lettre d'introduction,Paragrafo elenco,Normal bullet 2,R4_Bullet"/>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R4_bullets Char,列表段落1 Char,—ño’i—Ž Char,¥¡¡¡¡ì¬º¥¹¥È¶ÎÂä Char,ÁÐ³ö¶ÎÂä Char,¥ê¥¹¥È¶ÎÂä Char,R4_Bullet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5346077">
      <w:bodyDiv w:val="1"/>
      <w:marLeft w:val="0"/>
      <w:marRight w:val="0"/>
      <w:marTop w:val="0"/>
      <w:marBottom w:val="0"/>
      <w:divBdr>
        <w:top w:val="none" w:sz="0" w:space="0" w:color="auto"/>
        <w:left w:val="none" w:sz="0" w:space="0" w:color="auto"/>
        <w:bottom w:val="none" w:sz="0" w:space="0" w:color="auto"/>
        <w:right w:val="none" w:sz="0" w:space="0" w:color="auto"/>
      </w:divBdr>
      <w:divsChild>
        <w:div w:id="812940238">
          <w:marLeft w:val="1166"/>
          <w:marRight w:val="0"/>
          <w:marTop w:val="0"/>
          <w:marBottom w:val="0"/>
          <w:divBdr>
            <w:top w:val="none" w:sz="0" w:space="0" w:color="auto"/>
            <w:left w:val="none" w:sz="0" w:space="0" w:color="auto"/>
            <w:bottom w:val="none" w:sz="0" w:space="0" w:color="auto"/>
            <w:right w:val="none" w:sz="0" w:space="0" w:color="auto"/>
          </w:divBdr>
        </w:div>
        <w:div w:id="506873585">
          <w:marLeft w:val="1166"/>
          <w:marRight w:val="0"/>
          <w:marTop w:val="0"/>
          <w:marBottom w:val="0"/>
          <w:divBdr>
            <w:top w:val="none" w:sz="0" w:space="0" w:color="auto"/>
            <w:left w:val="none" w:sz="0" w:space="0" w:color="auto"/>
            <w:bottom w:val="none" w:sz="0" w:space="0" w:color="auto"/>
            <w:right w:val="none" w:sz="0" w:space="0" w:color="auto"/>
          </w:divBdr>
        </w:div>
        <w:div w:id="104007645">
          <w:marLeft w:val="1166"/>
          <w:marRight w:val="0"/>
          <w:marTop w:val="0"/>
          <w:marBottom w:val="0"/>
          <w:divBdr>
            <w:top w:val="none" w:sz="0" w:space="0" w:color="auto"/>
            <w:left w:val="none" w:sz="0" w:space="0" w:color="auto"/>
            <w:bottom w:val="none" w:sz="0" w:space="0" w:color="auto"/>
            <w:right w:val="none" w:sz="0" w:space="0" w:color="auto"/>
          </w:divBdr>
        </w:div>
        <w:div w:id="1364090767">
          <w:marLeft w:val="1166"/>
          <w:marRight w:val="0"/>
          <w:marTop w:val="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416051">
      <w:bodyDiv w:val="1"/>
      <w:marLeft w:val="0"/>
      <w:marRight w:val="0"/>
      <w:marTop w:val="0"/>
      <w:marBottom w:val="0"/>
      <w:divBdr>
        <w:top w:val="none" w:sz="0" w:space="0" w:color="auto"/>
        <w:left w:val="none" w:sz="0" w:space="0" w:color="auto"/>
        <w:bottom w:val="none" w:sz="0" w:space="0" w:color="auto"/>
        <w:right w:val="none" w:sz="0" w:space="0" w:color="auto"/>
      </w:divBdr>
      <w:divsChild>
        <w:div w:id="90664094">
          <w:marLeft w:val="547"/>
          <w:marRight w:val="0"/>
          <w:marTop w:val="115"/>
          <w:marBottom w:val="0"/>
          <w:divBdr>
            <w:top w:val="none" w:sz="0" w:space="0" w:color="auto"/>
            <w:left w:val="none" w:sz="0" w:space="0" w:color="auto"/>
            <w:bottom w:val="none" w:sz="0" w:space="0" w:color="auto"/>
            <w:right w:val="none" w:sz="0" w:space="0" w:color="auto"/>
          </w:divBdr>
        </w:div>
        <w:div w:id="1971009679">
          <w:marLeft w:val="547"/>
          <w:marRight w:val="0"/>
          <w:marTop w:val="115"/>
          <w:marBottom w:val="0"/>
          <w:divBdr>
            <w:top w:val="none" w:sz="0" w:space="0" w:color="auto"/>
            <w:left w:val="none" w:sz="0" w:space="0" w:color="auto"/>
            <w:bottom w:val="none" w:sz="0" w:space="0" w:color="auto"/>
            <w:right w:val="none" w:sz="0" w:space="0" w:color="auto"/>
          </w:divBdr>
        </w:div>
        <w:div w:id="1665813832">
          <w:marLeft w:val="1166"/>
          <w:marRight w:val="0"/>
          <w:marTop w:val="96"/>
          <w:marBottom w:val="0"/>
          <w:divBdr>
            <w:top w:val="none" w:sz="0" w:space="0" w:color="auto"/>
            <w:left w:val="none" w:sz="0" w:space="0" w:color="auto"/>
            <w:bottom w:val="none" w:sz="0" w:space="0" w:color="auto"/>
            <w:right w:val="none" w:sz="0" w:space="0" w:color="auto"/>
          </w:divBdr>
        </w:div>
        <w:div w:id="861016945">
          <w:marLeft w:val="1166"/>
          <w:marRight w:val="0"/>
          <w:marTop w:val="96"/>
          <w:marBottom w:val="0"/>
          <w:divBdr>
            <w:top w:val="none" w:sz="0" w:space="0" w:color="auto"/>
            <w:left w:val="none" w:sz="0" w:space="0" w:color="auto"/>
            <w:bottom w:val="none" w:sz="0" w:space="0" w:color="auto"/>
            <w:right w:val="none" w:sz="0" w:space="0" w:color="auto"/>
          </w:divBdr>
        </w:div>
        <w:div w:id="1281841483">
          <w:marLeft w:val="1166"/>
          <w:marRight w:val="0"/>
          <w:marTop w:val="96"/>
          <w:marBottom w:val="0"/>
          <w:divBdr>
            <w:top w:val="none" w:sz="0" w:space="0" w:color="auto"/>
            <w:left w:val="none" w:sz="0" w:space="0" w:color="auto"/>
            <w:bottom w:val="none" w:sz="0" w:space="0" w:color="auto"/>
            <w:right w:val="none" w:sz="0" w:space="0" w:color="auto"/>
          </w:divBdr>
        </w:div>
        <w:div w:id="756907205">
          <w:marLeft w:val="1166"/>
          <w:marRight w:val="0"/>
          <w:marTop w:val="96"/>
          <w:marBottom w:val="0"/>
          <w:divBdr>
            <w:top w:val="none" w:sz="0" w:space="0" w:color="auto"/>
            <w:left w:val="none" w:sz="0" w:space="0" w:color="auto"/>
            <w:bottom w:val="none" w:sz="0" w:space="0" w:color="auto"/>
            <w:right w:val="none" w:sz="0" w:space="0" w:color="auto"/>
          </w:divBdr>
        </w:div>
        <w:div w:id="1931967330">
          <w:marLeft w:val="1166"/>
          <w:marRight w:val="0"/>
          <w:marTop w:val="96"/>
          <w:marBottom w:val="0"/>
          <w:divBdr>
            <w:top w:val="none" w:sz="0" w:space="0" w:color="auto"/>
            <w:left w:val="none" w:sz="0" w:space="0" w:color="auto"/>
            <w:bottom w:val="none" w:sz="0" w:space="0" w:color="auto"/>
            <w:right w:val="none" w:sz="0" w:space="0" w:color="auto"/>
          </w:divBdr>
        </w:div>
        <w:div w:id="1049453255">
          <w:marLeft w:val="1166"/>
          <w:marRight w:val="0"/>
          <w:marTop w:val="96"/>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3822343">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2184402">
      <w:bodyDiv w:val="1"/>
      <w:marLeft w:val="0"/>
      <w:marRight w:val="0"/>
      <w:marTop w:val="0"/>
      <w:marBottom w:val="0"/>
      <w:divBdr>
        <w:top w:val="none" w:sz="0" w:space="0" w:color="auto"/>
        <w:left w:val="none" w:sz="0" w:space="0" w:color="auto"/>
        <w:bottom w:val="none" w:sz="0" w:space="0" w:color="auto"/>
        <w:right w:val="none" w:sz="0" w:space="0" w:color="auto"/>
      </w:divBdr>
      <w:divsChild>
        <w:div w:id="265499055">
          <w:marLeft w:val="360"/>
          <w:marRight w:val="0"/>
          <w:marTop w:val="200"/>
          <w:marBottom w:val="0"/>
          <w:divBdr>
            <w:top w:val="none" w:sz="0" w:space="0" w:color="auto"/>
            <w:left w:val="none" w:sz="0" w:space="0" w:color="auto"/>
            <w:bottom w:val="none" w:sz="0" w:space="0" w:color="auto"/>
            <w:right w:val="none" w:sz="0" w:space="0" w:color="auto"/>
          </w:divBdr>
        </w:div>
        <w:div w:id="1060324541">
          <w:marLeft w:val="1080"/>
          <w:marRight w:val="0"/>
          <w:marTop w:val="1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324973">
      <w:bodyDiv w:val="1"/>
      <w:marLeft w:val="0"/>
      <w:marRight w:val="0"/>
      <w:marTop w:val="0"/>
      <w:marBottom w:val="0"/>
      <w:divBdr>
        <w:top w:val="none" w:sz="0" w:space="0" w:color="auto"/>
        <w:left w:val="none" w:sz="0" w:space="0" w:color="auto"/>
        <w:bottom w:val="none" w:sz="0" w:space="0" w:color="auto"/>
        <w:right w:val="none" w:sz="0" w:space="0" w:color="auto"/>
      </w:divBdr>
      <w:divsChild>
        <w:div w:id="734352342">
          <w:marLeft w:val="1080"/>
          <w:marRight w:val="0"/>
          <w:marTop w:val="100"/>
          <w:marBottom w:val="0"/>
          <w:divBdr>
            <w:top w:val="none" w:sz="0" w:space="0" w:color="auto"/>
            <w:left w:val="none" w:sz="0" w:space="0" w:color="auto"/>
            <w:bottom w:val="none" w:sz="0" w:space="0" w:color="auto"/>
            <w:right w:val="none" w:sz="0" w:space="0" w:color="auto"/>
          </w:divBdr>
        </w:div>
        <w:div w:id="551188347">
          <w:marLeft w:val="1800"/>
          <w:marRight w:val="0"/>
          <w:marTop w:val="100"/>
          <w:marBottom w:val="0"/>
          <w:divBdr>
            <w:top w:val="none" w:sz="0" w:space="0" w:color="auto"/>
            <w:left w:val="none" w:sz="0" w:space="0" w:color="auto"/>
            <w:bottom w:val="none" w:sz="0" w:space="0" w:color="auto"/>
            <w:right w:val="none" w:sz="0" w:space="0" w:color="auto"/>
          </w:divBdr>
        </w:div>
        <w:div w:id="62264312">
          <w:marLeft w:val="2520"/>
          <w:marRight w:val="0"/>
          <w:marTop w:val="100"/>
          <w:marBottom w:val="0"/>
          <w:divBdr>
            <w:top w:val="none" w:sz="0" w:space="0" w:color="auto"/>
            <w:left w:val="none" w:sz="0" w:space="0" w:color="auto"/>
            <w:bottom w:val="none" w:sz="0" w:space="0" w:color="auto"/>
            <w:right w:val="none" w:sz="0" w:space="0" w:color="auto"/>
          </w:divBdr>
        </w:div>
        <w:div w:id="252054399">
          <w:marLeft w:val="2520"/>
          <w:marRight w:val="0"/>
          <w:marTop w:val="100"/>
          <w:marBottom w:val="0"/>
          <w:divBdr>
            <w:top w:val="none" w:sz="0" w:space="0" w:color="auto"/>
            <w:left w:val="none" w:sz="0" w:space="0" w:color="auto"/>
            <w:bottom w:val="none" w:sz="0" w:space="0" w:color="auto"/>
            <w:right w:val="none" w:sz="0" w:space="0" w:color="auto"/>
          </w:divBdr>
        </w:div>
        <w:div w:id="1565556203">
          <w:marLeft w:val="1080"/>
          <w:marRight w:val="0"/>
          <w:marTop w:val="100"/>
          <w:marBottom w:val="0"/>
          <w:divBdr>
            <w:top w:val="none" w:sz="0" w:space="0" w:color="auto"/>
            <w:left w:val="none" w:sz="0" w:space="0" w:color="auto"/>
            <w:bottom w:val="none" w:sz="0" w:space="0" w:color="auto"/>
            <w:right w:val="none" w:sz="0" w:space="0" w:color="auto"/>
          </w:divBdr>
        </w:div>
        <w:div w:id="1951622492">
          <w:marLeft w:val="1800"/>
          <w:marRight w:val="0"/>
          <w:marTop w:val="100"/>
          <w:marBottom w:val="0"/>
          <w:divBdr>
            <w:top w:val="none" w:sz="0" w:space="0" w:color="auto"/>
            <w:left w:val="none" w:sz="0" w:space="0" w:color="auto"/>
            <w:bottom w:val="none" w:sz="0" w:space="0" w:color="auto"/>
            <w:right w:val="none" w:sz="0" w:space="0" w:color="auto"/>
          </w:divBdr>
        </w:div>
        <w:div w:id="127625568">
          <w:marLeft w:val="2520"/>
          <w:marRight w:val="0"/>
          <w:marTop w:val="100"/>
          <w:marBottom w:val="0"/>
          <w:divBdr>
            <w:top w:val="none" w:sz="0" w:space="0" w:color="auto"/>
            <w:left w:val="none" w:sz="0" w:space="0" w:color="auto"/>
            <w:bottom w:val="none" w:sz="0" w:space="0" w:color="auto"/>
            <w:right w:val="none" w:sz="0" w:space="0" w:color="auto"/>
          </w:divBdr>
        </w:div>
        <w:div w:id="1354528858">
          <w:marLeft w:val="2520"/>
          <w:marRight w:val="0"/>
          <w:marTop w:val="100"/>
          <w:marBottom w:val="0"/>
          <w:divBdr>
            <w:top w:val="none" w:sz="0" w:space="0" w:color="auto"/>
            <w:left w:val="none" w:sz="0" w:space="0" w:color="auto"/>
            <w:bottom w:val="none" w:sz="0" w:space="0" w:color="auto"/>
            <w:right w:val="none" w:sz="0" w:space="0" w:color="auto"/>
          </w:divBdr>
        </w:div>
        <w:div w:id="1442991707">
          <w:marLeft w:val="2520"/>
          <w:marRight w:val="0"/>
          <w:marTop w:val="100"/>
          <w:marBottom w:val="0"/>
          <w:divBdr>
            <w:top w:val="none" w:sz="0" w:space="0" w:color="auto"/>
            <w:left w:val="none" w:sz="0" w:space="0" w:color="auto"/>
            <w:bottom w:val="none" w:sz="0" w:space="0" w:color="auto"/>
            <w:right w:val="none" w:sz="0" w:space="0" w:color="auto"/>
          </w:divBdr>
        </w:div>
        <w:div w:id="2026513625">
          <w:marLeft w:val="1800"/>
          <w:marRight w:val="0"/>
          <w:marTop w:val="10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4535407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09721348">
      <w:bodyDiv w:val="1"/>
      <w:marLeft w:val="0"/>
      <w:marRight w:val="0"/>
      <w:marTop w:val="0"/>
      <w:marBottom w:val="0"/>
      <w:divBdr>
        <w:top w:val="none" w:sz="0" w:space="0" w:color="auto"/>
        <w:left w:val="none" w:sz="0" w:space="0" w:color="auto"/>
        <w:bottom w:val="none" w:sz="0" w:space="0" w:color="auto"/>
        <w:right w:val="none" w:sz="0" w:space="0" w:color="auto"/>
      </w:divBdr>
      <w:divsChild>
        <w:div w:id="667513528">
          <w:marLeft w:val="1800"/>
          <w:marRight w:val="0"/>
          <w:marTop w:val="100"/>
          <w:marBottom w:val="0"/>
          <w:divBdr>
            <w:top w:val="none" w:sz="0" w:space="0" w:color="auto"/>
            <w:left w:val="none" w:sz="0" w:space="0" w:color="auto"/>
            <w:bottom w:val="none" w:sz="0" w:space="0" w:color="auto"/>
            <w:right w:val="none" w:sz="0" w:space="0" w:color="auto"/>
          </w:divBdr>
        </w:div>
        <w:div w:id="1510606260">
          <w:marLeft w:val="1800"/>
          <w:marRight w:val="0"/>
          <w:marTop w:val="100"/>
          <w:marBottom w:val="0"/>
          <w:divBdr>
            <w:top w:val="none" w:sz="0" w:space="0" w:color="auto"/>
            <w:left w:val="none" w:sz="0" w:space="0" w:color="auto"/>
            <w:bottom w:val="none" w:sz="0" w:space="0" w:color="auto"/>
            <w:right w:val="none" w:sz="0" w:space="0" w:color="auto"/>
          </w:divBdr>
        </w:div>
        <w:div w:id="1756239428">
          <w:marLeft w:val="180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87467004">
      <w:bodyDiv w:val="1"/>
      <w:marLeft w:val="0"/>
      <w:marRight w:val="0"/>
      <w:marTop w:val="0"/>
      <w:marBottom w:val="0"/>
      <w:divBdr>
        <w:top w:val="none" w:sz="0" w:space="0" w:color="auto"/>
        <w:left w:val="none" w:sz="0" w:space="0" w:color="auto"/>
        <w:bottom w:val="none" w:sz="0" w:space="0" w:color="auto"/>
        <w:right w:val="none" w:sz="0" w:space="0" w:color="auto"/>
      </w:divBdr>
      <w:divsChild>
        <w:div w:id="2091732123">
          <w:marLeft w:val="360"/>
          <w:marRight w:val="0"/>
          <w:marTop w:val="200"/>
          <w:marBottom w:val="0"/>
          <w:divBdr>
            <w:top w:val="none" w:sz="0" w:space="0" w:color="auto"/>
            <w:left w:val="none" w:sz="0" w:space="0" w:color="auto"/>
            <w:bottom w:val="none" w:sz="0" w:space="0" w:color="auto"/>
            <w:right w:val="none" w:sz="0" w:space="0" w:color="auto"/>
          </w:divBdr>
        </w:div>
        <w:div w:id="991179707">
          <w:marLeft w:val="1080"/>
          <w:marRight w:val="0"/>
          <w:marTop w:val="100"/>
          <w:marBottom w:val="0"/>
          <w:divBdr>
            <w:top w:val="none" w:sz="0" w:space="0" w:color="auto"/>
            <w:left w:val="none" w:sz="0" w:space="0" w:color="auto"/>
            <w:bottom w:val="none" w:sz="0" w:space="0" w:color="auto"/>
            <w:right w:val="none" w:sz="0" w:space="0" w:color="auto"/>
          </w:divBdr>
        </w:div>
        <w:div w:id="1853103988">
          <w:marLeft w:val="1080"/>
          <w:marRight w:val="0"/>
          <w:marTop w:val="100"/>
          <w:marBottom w:val="0"/>
          <w:divBdr>
            <w:top w:val="none" w:sz="0" w:space="0" w:color="auto"/>
            <w:left w:val="none" w:sz="0" w:space="0" w:color="auto"/>
            <w:bottom w:val="none" w:sz="0" w:space="0" w:color="auto"/>
            <w:right w:val="none" w:sz="0" w:space="0" w:color="auto"/>
          </w:divBdr>
        </w:div>
        <w:div w:id="1622028096">
          <w:marLeft w:val="1080"/>
          <w:marRight w:val="0"/>
          <w:marTop w:val="10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237567">
      <w:bodyDiv w:val="1"/>
      <w:marLeft w:val="0"/>
      <w:marRight w:val="0"/>
      <w:marTop w:val="0"/>
      <w:marBottom w:val="0"/>
      <w:divBdr>
        <w:top w:val="none" w:sz="0" w:space="0" w:color="auto"/>
        <w:left w:val="none" w:sz="0" w:space="0" w:color="auto"/>
        <w:bottom w:val="none" w:sz="0" w:space="0" w:color="auto"/>
        <w:right w:val="none" w:sz="0" w:space="0" w:color="auto"/>
      </w:divBdr>
      <w:divsChild>
        <w:div w:id="252016773">
          <w:marLeft w:val="360"/>
          <w:marRight w:val="0"/>
          <w:marTop w:val="200"/>
          <w:marBottom w:val="0"/>
          <w:divBdr>
            <w:top w:val="none" w:sz="0" w:space="0" w:color="auto"/>
            <w:left w:val="none" w:sz="0" w:space="0" w:color="auto"/>
            <w:bottom w:val="none" w:sz="0" w:space="0" w:color="auto"/>
            <w:right w:val="none" w:sz="0" w:space="0" w:color="auto"/>
          </w:divBdr>
        </w:div>
        <w:div w:id="248200275">
          <w:marLeft w:val="1080"/>
          <w:marRight w:val="0"/>
          <w:marTop w:val="100"/>
          <w:marBottom w:val="0"/>
          <w:divBdr>
            <w:top w:val="none" w:sz="0" w:space="0" w:color="auto"/>
            <w:left w:val="none" w:sz="0" w:space="0" w:color="auto"/>
            <w:bottom w:val="none" w:sz="0" w:space="0" w:color="auto"/>
            <w:right w:val="none" w:sz="0" w:space="0" w:color="auto"/>
          </w:divBdr>
        </w:div>
        <w:div w:id="834567716">
          <w:marLeft w:val="1800"/>
          <w:marRight w:val="0"/>
          <w:marTop w:val="100"/>
          <w:marBottom w:val="0"/>
          <w:divBdr>
            <w:top w:val="none" w:sz="0" w:space="0" w:color="auto"/>
            <w:left w:val="none" w:sz="0" w:space="0" w:color="auto"/>
            <w:bottom w:val="none" w:sz="0" w:space="0" w:color="auto"/>
            <w:right w:val="none" w:sz="0" w:space="0" w:color="auto"/>
          </w:divBdr>
        </w:div>
        <w:div w:id="469709143">
          <w:marLeft w:val="1800"/>
          <w:marRight w:val="0"/>
          <w:marTop w:val="100"/>
          <w:marBottom w:val="0"/>
          <w:divBdr>
            <w:top w:val="none" w:sz="0" w:space="0" w:color="auto"/>
            <w:left w:val="none" w:sz="0" w:space="0" w:color="auto"/>
            <w:bottom w:val="none" w:sz="0" w:space="0" w:color="auto"/>
            <w:right w:val="none" w:sz="0" w:space="0" w:color="auto"/>
          </w:divBdr>
        </w:div>
        <w:div w:id="1661108179">
          <w:marLeft w:val="1080"/>
          <w:marRight w:val="0"/>
          <w:marTop w:val="100"/>
          <w:marBottom w:val="0"/>
          <w:divBdr>
            <w:top w:val="none" w:sz="0" w:space="0" w:color="auto"/>
            <w:left w:val="none" w:sz="0" w:space="0" w:color="auto"/>
            <w:bottom w:val="none" w:sz="0" w:space="0" w:color="auto"/>
            <w:right w:val="none" w:sz="0" w:space="0" w:color="auto"/>
          </w:divBdr>
        </w:div>
        <w:div w:id="370423592">
          <w:marLeft w:val="1080"/>
          <w:marRight w:val="0"/>
          <w:marTop w:val="100"/>
          <w:marBottom w:val="0"/>
          <w:divBdr>
            <w:top w:val="none" w:sz="0" w:space="0" w:color="auto"/>
            <w:left w:val="none" w:sz="0" w:space="0" w:color="auto"/>
            <w:bottom w:val="none" w:sz="0" w:space="0" w:color="auto"/>
            <w:right w:val="none" w:sz="0" w:space="0" w:color="auto"/>
          </w:divBdr>
        </w:div>
        <w:div w:id="128088266">
          <w:marLeft w:val="360"/>
          <w:marRight w:val="0"/>
          <w:marTop w:val="200"/>
          <w:marBottom w:val="0"/>
          <w:divBdr>
            <w:top w:val="none" w:sz="0" w:space="0" w:color="auto"/>
            <w:left w:val="none" w:sz="0" w:space="0" w:color="auto"/>
            <w:bottom w:val="none" w:sz="0" w:space="0" w:color="auto"/>
            <w:right w:val="none" w:sz="0" w:space="0" w:color="auto"/>
          </w:divBdr>
        </w:div>
        <w:div w:id="449393798">
          <w:marLeft w:val="1080"/>
          <w:marRight w:val="0"/>
          <w:marTop w:val="100"/>
          <w:marBottom w:val="0"/>
          <w:divBdr>
            <w:top w:val="none" w:sz="0" w:space="0" w:color="auto"/>
            <w:left w:val="none" w:sz="0" w:space="0" w:color="auto"/>
            <w:bottom w:val="none" w:sz="0" w:space="0" w:color="auto"/>
            <w:right w:val="none" w:sz="0" w:space="0" w:color="auto"/>
          </w:divBdr>
        </w:div>
        <w:div w:id="1419403175">
          <w:marLeft w:val="360"/>
          <w:marRight w:val="0"/>
          <w:marTop w:val="200"/>
          <w:marBottom w:val="0"/>
          <w:divBdr>
            <w:top w:val="none" w:sz="0" w:space="0" w:color="auto"/>
            <w:left w:val="none" w:sz="0" w:space="0" w:color="auto"/>
            <w:bottom w:val="none" w:sz="0" w:space="0" w:color="auto"/>
            <w:right w:val="none" w:sz="0" w:space="0" w:color="auto"/>
          </w:divBdr>
        </w:div>
        <w:div w:id="1182744032">
          <w:marLeft w:val="1080"/>
          <w:marRight w:val="0"/>
          <w:marTop w:val="100"/>
          <w:marBottom w:val="0"/>
          <w:divBdr>
            <w:top w:val="none" w:sz="0" w:space="0" w:color="auto"/>
            <w:left w:val="none" w:sz="0" w:space="0" w:color="auto"/>
            <w:bottom w:val="none" w:sz="0" w:space="0" w:color="auto"/>
            <w:right w:val="none" w:sz="0" w:space="0" w:color="auto"/>
          </w:divBdr>
        </w:div>
        <w:div w:id="1961648407">
          <w:marLeft w:val="1080"/>
          <w:marRight w:val="0"/>
          <w:marTop w:val="100"/>
          <w:marBottom w:val="0"/>
          <w:divBdr>
            <w:top w:val="none" w:sz="0" w:space="0" w:color="auto"/>
            <w:left w:val="none" w:sz="0" w:space="0" w:color="auto"/>
            <w:bottom w:val="none" w:sz="0" w:space="0" w:color="auto"/>
            <w:right w:val="none" w:sz="0" w:space="0" w:color="auto"/>
          </w:divBdr>
        </w:div>
        <w:div w:id="2039309341">
          <w:marLeft w:val="360"/>
          <w:marRight w:val="0"/>
          <w:marTop w:val="20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52414752">
      <w:bodyDiv w:val="1"/>
      <w:marLeft w:val="0"/>
      <w:marRight w:val="0"/>
      <w:marTop w:val="0"/>
      <w:marBottom w:val="0"/>
      <w:divBdr>
        <w:top w:val="none" w:sz="0" w:space="0" w:color="auto"/>
        <w:left w:val="none" w:sz="0" w:space="0" w:color="auto"/>
        <w:bottom w:val="none" w:sz="0" w:space="0" w:color="auto"/>
        <w:right w:val="none" w:sz="0" w:space="0" w:color="auto"/>
      </w:divBdr>
      <w:divsChild>
        <w:div w:id="1864434660">
          <w:marLeft w:val="1166"/>
          <w:marRight w:val="0"/>
          <w:marTop w:val="96"/>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60488671">
      <w:bodyDiv w:val="1"/>
      <w:marLeft w:val="0"/>
      <w:marRight w:val="0"/>
      <w:marTop w:val="0"/>
      <w:marBottom w:val="0"/>
      <w:divBdr>
        <w:top w:val="none" w:sz="0" w:space="0" w:color="auto"/>
        <w:left w:val="none" w:sz="0" w:space="0" w:color="auto"/>
        <w:bottom w:val="none" w:sz="0" w:space="0" w:color="auto"/>
        <w:right w:val="none" w:sz="0" w:space="0" w:color="auto"/>
      </w:divBdr>
      <w:divsChild>
        <w:div w:id="595285113">
          <w:marLeft w:val="360"/>
          <w:marRight w:val="0"/>
          <w:marTop w:val="200"/>
          <w:marBottom w:val="0"/>
          <w:divBdr>
            <w:top w:val="none" w:sz="0" w:space="0" w:color="auto"/>
            <w:left w:val="none" w:sz="0" w:space="0" w:color="auto"/>
            <w:bottom w:val="none" w:sz="0" w:space="0" w:color="auto"/>
            <w:right w:val="none" w:sz="0" w:space="0" w:color="auto"/>
          </w:divBdr>
        </w:div>
        <w:div w:id="1511217503">
          <w:marLeft w:val="360"/>
          <w:marRight w:val="0"/>
          <w:marTop w:val="200"/>
          <w:marBottom w:val="0"/>
          <w:divBdr>
            <w:top w:val="none" w:sz="0" w:space="0" w:color="auto"/>
            <w:left w:val="none" w:sz="0" w:space="0" w:color="auto"/>
            <w:bottom w:val="none" w:sz="0" w:space="0" w:color="auto"/>
            <w:right w:val="none" w:sz="0" w:space="0" w:color="auto"/>
          </w:divBdr>
        </w:div>
        <w:div w:id="2007785251">
          <w:marLeft w:val="1080"/>
          <w:marRight w:val="0"/>
          <w:marTop w:val="100"/>
          <w:marBottom w:val="0"/>
          <w:divBdr>
            <w:top w:val="none" w:sz="0" w:space="0" w:color="auto"/>
            <w:left w:val="none" w:sz="0" w:space="0" w:color="auto"/>
            <w:bottom w:val="none" w:sz="0" w:space="0" w:color="auto"/>
            <w:right w:val="none" w:sz="0" w:space="0" w:color="auto"/>
          </w:divBdr>
        </w:div>
        <w:div w:id="100535687">
          <w:marLeft w:val="1800"/>
          <w:marRight w:val="0"/>
          <w:marTop w:val="100"/>
          <w:marBottom w:val="0"/>
          <w:divBdr>
            <w:top w:val="none" w:sz="0" w:space="0" w:color="auto"/>
            <w:left w:val="none" w:sz="0" w:space="0" w:color="auto"/>
            <w:bottom w:val="none" w:sz="0" w:space="0" w:color="auto"/>
            <w:right w:val="none" w:sz="0" w:space="0" w:color="auto"/>
          </w:divBdr>
        </w:div>
        <w:div w:id="270094004">
          <w:marLeft w:val="1800"/>
          <w:marRight w:val="0"/>
          <w:marTop w:val="100"/>
          <w:marBottom w:val="0"/>
          <w:divBdr>
            <w:top w:val="none" w:sz="0" w:space="0" w:color="auto"/>
            <w:left w:val="none" w:sz="0" w:space="0" w:color="auto"/>
            <w:bottom w:val="none" w:sz="0" w:space="0" w:color="auto"/>
            <w:right w:val="none" w:sz="0" w:space="0" w:color="auto"/>
          </w:divBdr>
        </w:div>
        <w:div w:id="471562703">
          <w:marLeft w:val="1800"/>
          <w:marRight w:val="0"/>
          <w:marTop w:val="100"/>
          <w:marBottom w:val="0"/>
          <w:divBdr>
            <w:top w:val="none" w:sz="0" w:space="0" w:color="auto"/>
            <w:left w:val="none" w:sz="0" w:space="0" w:color="auto"/>
            <w:bottom w:val="none" w:sz="0" w:space="0" w:color="auto"/>
            <w:right w:val="none" w:sz="0" w:space="0" w:color="auto"/>
          </w:divBdr>
        </w:div>
        <w:div w:id="1584796525">
          <w:marLeft w:val="1800"/>
          <w:marRight w:val="0"/>
          <w:marTop w:val="100"/>
          <w:marBottom w:val="0"/>
          <w:divBdr>
            <w:top w:val="none" w:sz="0" w:space="0" w:color="auto"/>
            <w:left w:val="none" w:sz="0" w:space="0" w:color="auto"/>
            <w:bottom w:val="none" w:sz="0" w:space="0" w:color="auto"/>
            <w:right w:val="none" w:sz="0" w:space="0" w:color="auto"/>
          </w:divBdr>
        </w:div>
        <w:div w:id="429012281">
          <w:marLeft w:val="360"/>
          <w:marRight w:val="0"/>
          <w:marTop w:val="2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281603">
      <w:bodyDiv w:val="1"/>
      <w:marLeft w:val="0"/>
      <w:marRight w:val="0"/>
      <w:marTop w:val="0"/>
      <w:marBottom w:val="0"/>
      <w:divBdr>
        <w:top w:val="none" w:sz="0" w:space="0" w:color="auto"/>
        <w:left w:val="none" w:sz="0" w:space="0" w:color="auto"/>
        <w:bottom w:val="none" w:sz="0" w:space="0" w:color="auto"/>
        <w:right w:val="none" w:sz="0" w:space="0" w:color="auto"/>
      </w:divBdr>
      <w:divsChild>
        <w:div w:id="1844202682">
          <w:marLeft w:val="1166"/>
          <w:marRight w:val="0"/>
          <w:marTop w:val="0"/>
          <w:marBottom w:val="0"/>
          <w:divBdr>
            <w:top w:val="none" w:sz="0" w:space="0" w:color="auto"/>
            <w:left w:val="none" w:sz="0" w:space="0" w:color="auto"/>
            <w:bottom w:val="none" w:sz="0" w:space="0" w:color="auto"/>
            <w:right w:val="none" w:sz="0" w:space="0" w:color="auto"/>
          </w:divBdr>
        </w:div>
        <w:div w:id="434790821">
          <w:marLeft w:val="1166"/>
          <w:marRight w:val="0"/>
          <w:marTop w:val="0"/>
          <w:marBottom w:val="0"/>
          <w:divBdr>
            <w:top w:val="none" w:sz="0" w:space="0" w:color="auto"/>
            <w:left w:val="none" w:sz="0" w:space="0" w:color="auto"/>
            <w:bottom w:val="none" w:sz="0" w:space="0" w:color="auto"/>
            <w:right w:val="none" w:sz="0" w:space="0" w:color="auto"/>
          </w:divBdr>
        </w:div>
        <w:div w:id="555632041">
          <w:marLeft w:val="1166"/>
          <w:marRight w:val="0"/>
          <w:marTop w:val="0"/>
          <w:marBottom w:val="0"/>
          <w:divBdr>
            <w:top w:val="none" w:sz="0" w:space="0" w:color="auto"/>
            <w:left w:val="none" w:sz="0" w:space="0" w:color="auto"/>
            <w:bottom w:val="none" w:sz="0" w:space="0" w:color="auto"/>
            <w:right w:val="none" w:sz="0" w:space="0" w:color="auto"/>
          </w:divBdr>
        </w:div>
        <w:div w:id="1618028916">
          <w:marLeft w:val="1166"/>
          <w:marRight w:val="0"/>
          <w:marTop w:val="0"/>
          <w:marBottom w:val="0"/>
          <w:divBdr>
            <w:top w:val="none" w:sz="0" w:space="0" w:color="auto"/>
            <w:left w:val="none" w:sz="0" w:space="0" w:color="auto"/>
            <w:bottom w:val="none" w:sz="0" w:space="0" w:color="auto"/>
            <w:right w:val="none" w:sz="0" w:space="0" w:color="auto"/>
          </w:divBdr>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4990674">
      <w:bodyDiv w:val="1"/>
      <w:marLeft w:val="0"/>
      <w:marRight w:val="0"/>
      <w:marTop w:val="0"/>
      <w:marBottom w:val="0"/>
      <w:divBdr>
        <w:top w:val="none" w:sz="0" w:space="0" w:color="auto"/>
        <w:left w:val="none" w:sz="0" w:space="0" w:color="auto"/>
        <w:bottom w:val="none" w:sz="0" w:space="0" w:color="auto"/>
        <w:right w:val="none" w:sz="0" w:space="0" w:color="auto"/>
      </w:divBdr>
      <w:divsChild>
        <w:div w:id="1240365199">
          <w:marLeft w:val="547"/>
          <w:marRight w:val="0"/>
          <w:marTop w:val="115"/>
          <w:marBottom w:val="0"/>
          <w:divBdr>
            <w:top w:val="none" w:sz="0" w:space="0" w:color="auto"/>
            <w:left w:val="none" w:sz="0" w:space="0" w:color="auto"/>
            <w:bottom w:val="none" w:sz="0" w:space="0" w:color="auto"/>
            <w:right w:val="none" w:sz="0" w:space="0" w:color="auto"/>
          </w:divBdr>
        </w:div>
        <w:div w:id="1995406692">
          <w:marLeft w:val="1166"/>
          <w:marRight w:val="0"/>
          <w:marTop w:val="96"/>
          <w:marBottom w:val="0"/>
          <w:divBdr>
            <w:top w:val="none" w:sz="0" w:space="0" w:color="auto"/>
            <w:left w:val="none" w:sz="0" w:space="0" w:color="auto"/>
            <w:bottom w:val="none" w:sz="0" w:space="0" w:color="auto"/>
            <w:right w:val="none" w:sz="0" w:space="0" w:color="auto"/>
          </w:divBdr>
        </w:div>
        <w:div w:id="416368783">
          <w:marLeft w:val="1166"/>
          <w:marRight w:val="0"/>
          <w:marTop w:val="96"/>
          <w:marBottom w:val="0"/>
          <w:divBdr>
            <w:top w:val="none" w:sz="0" w:space="0" w:color="auto"/>
            <w:left w:val="none" w:sz="0" w:space="0" w:color="auto"/>
            <w:bottom w:val="none" w:sz="0" w:space="0" w:color="auto"/>
            <w:right w:val="none" w:sz="0" w:space="0" w:color="auto"/>
          </w:divBdr>
        </w:div>
        <w:div w:id="1694109332">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1481340">
      <w:bodyDiv w:val="1"/>
      <w:marLeft w:val="0"/>
      <w:marRight w:val="0"/>
      <w:marTop w:val="0"/>
      <w:marBottom w:val="0"/>
      <w:divBdr>
        <w:top w:val="none" w:sz="0" w:space="0" w:color="auto"/>
        <w:left w:val="none" w:sz="0" w:space="0" w:color="auto"/>
        <w:bottom w:val="none" w:sz="0" w:space="0" w:color="auto"/>
        <w:right w:val="none" w:sz="0" w:space="0" w:color="auto"/>
      </w:divBdr>
      <w:divsChild>
        <w:div w:id="1016805737">
          <w:marLeft w:val="360"/>
          <w:marRight w:val="0"/>
          <w:marTop w:val="200"/>
          <w:marBottom w:val="0"/>
          <w:divBdr>
            <w:top w:val="none" w:sz="0" w:space="0" w:color="auto"/>
            <w:left w:val="none" w:sz="0" w:space="0" w:color="auto"/>
            <w:bottom w:val="none" w:sz="0" w:space="0" w:color="auto"/>
            <w:right w:val="none" w:sz="0" w:space="0" w:color="auto"/>
          </w:divBdr>
        </w:div>
        <w:div w:id="1028145856">
          <w:marLeft w:val="1080"/>
          <w:marRight w:val="0"/>
          <w:marTop w:val="100"/>
          <w:marBottom w:val="0"/>
          <w:divBdr>
            <w:top w:val="none" w:sz="0" w:space="0" w:color="auto"/>
            <w:left w:val="none" w:sz="0" w:space="0" w:color="auto"/>
            <w:bottom w:val="none" w:sz="0" w:space="0" w:color="auto"/>
            <w:right w:val="none" w:sz="0" w:space="0" w:color="auto"/>
          </w:divBdr>
        </w:div>
        <w:div w:id="1049186026">
          <w:marLeft w:val="360"/>
          <w:marRight w:val="0"/>
          <w:marTop w:val="200"/>
          <w:marBottom w:val="0"/>
          <w:divBdr>
            <w:top w:val="none" w:sz="0" w:space="0" w:color="auto"/>
            <w:left w:val="none" w:sz="0" w:space="0" w:color="auto"/>
            <w:bottom w:val="none" w:sz="0" w:space="0" w:color="auto"/>
            <w:right w:val="none" w:sz="0" w:space="0" w:color="auto"/>
          </w:divBdr>
        </w:div>
        <w:div w:id="235633258">
          <w:marLeft w:val="1080"/>
          <w:marRight w:val="0"/>
          <w:marTop w:val="1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9108326">
      <w:bodyDiv w:val="1"/>
      <w:marLeft w:val="0"/>
      <w:marRight w:val="0"/>
      <w:marTop w:val="0"/>
      <w:marBottom w:val="0"/>
      <w:divBdr>
        <w:top w:val="none" w:sz="0" w:space="0" w:color="auto"/>
        <w:left w:val="none" w:sz="0" w:space="0" w:color="auto"/>
        <w:bottom w:val="none" w:sz="0" w:space="0" w:color="auto"/>
        <w:right w:val="none" w:sz="0" w:space="0" w:color="auto"/>
      </w:divBdr>
      <w:divsChild>
        <w:div w:id="215702656">
          <w:marLeft w:val="1080"/>
          <w:marRight w:val="0"/>
          <w:marTop w:val="100"/>
          <w:marBottom w:val="0"/>
          <w:divBdr>
            <w:top w:val="none" w:sz="0" w:space="0" w:color="auto"/>
            <w:left w:val="none" w:sz="0" w:space="0" w:color="auto"/>
            <w:bottom w:val="none" w:sz="0" w:space="0" w:color="auto"/>
            <w:right w:val="none" w:sz="0" w:space="0" w:color="auto"/>
          </w:divBdr>
        </w:div>
        <w:div w:id="1304236909">
          <w:marLeft w:val="1800"/>
          <w:marRight w:val="0"/>
          <w:marTop w:val="100"/>
          <w:marBottom w:val="0"/>
          <w:divBdr>
            <w:top w:val="none" w:sz="0" w:space="0" w:color="auto"/>
            <w:left w:val="none" w:sz="0" w:space="0" w:color="auto"/>
            <w:bottom w:val="none" w:sz="0" w:space="0" w:color="auto"/>
            <w:right w:val="none" w:sz="0" w:space="0" w:color="auto"/>
          </w:divBdr>
        </w:div>
        <w:div w:id="1355308911">
          <w:marLeft w:val="1080"/>
          <w:marRight w:val="0"/>
          <w:marTop w:val="200"/>
          <w:marBottom w:val="0"/>
          <w:divBdr>
            <w:top w:val="none" w:sz="0" w:space="0" w:color="auto"/>
            <w:left w:val="none" w:sz="0" w:space="0" w:color="auto"/>
            <w:bottom w:val="none" w:sz="0" w:space="0" w:color="auto"/>
            <w:right w:val="none" w:sz="0" w:space="0" w:color="auto"/>
          </w:divBdr>
        </w:div>
        <w:div w:id="725028087">
          <w:marLeft w:val="360"/>
          <w:marRight w:val="0"/>
          <w:marTop w:val="200"/>
          <w:marBottom w:val="0"/>
          <w:divBdr>
            <w:top w:val="none" w:sz="0" w:space="0" w:color="auto"/>
            <w:left w:val="none" w:sz="0" w:space="0" w:color="auto"/>
            <w:bottom w:val="none" w:sz="0" w:space="0" w:color="auto"/>
            <w:right w:val="none" w:sz="0" w:space="0" w:color="auto"/>
          </w:divBdr>
        </w:div>
        <w:div w:id="1638680524">
          <w:marLeft w:val="360"/>
          <w:marRight w:val="0"/>
          <w:marTop w:val="200"/>
          <w:marBottom w:val="0"/>
          <w:divBdr>
            <w:top w:val="none" w:sz="0" w:space="0" w:color="auto"/>
            <w:left w:val="none" w:sz="0" w:space="0" w:color="auto"/>
            <w:bottom w:val="none" w:sz="0" w:space="0" w:color="auto"/>
            <w:right w:val="none" w:sz="0" w:space="0" w:color="auto"/>
          </w:divBdr>
        </w:div>
        <w:div w:id="151944973">
          <w:marLeft w:val="360"/>
          <w:marRight w:val="0"/>
          <w:marTop w:val="200"/>
          <w:marBottom w:val="0"/>
          <w:divBdr>
            <w:top w:val="none" w:sz="0" w:space="0" w:color="auto"/>
            <w:left w:val="none" w:sz="0" w:space="0" w:color="auto"/>
            <w:bottom w:val="none" w:sz="0" w:space="0" w:color="auto"/>
            <w:right w:val="none" w:sz="0" w:space="0" w:color="auto"/>
          </w:divBdr>
        </w:div>
        <w:div w:id="301887030">
          <w:marLeft w:val="1080"/>
          <w:marRight w:val="0"/>
          <w:marTop w:val="100"/>
          <w:marBottom w:val="0"/>
          <w:divBdr>
            <w:top w:val="none" w:sz="0" w:space="0" w:color="auto"/>
            <w:left w:val="none" w:sz="0" w:space="0" w:color="auto"/>
            <w:bottom w:val="none" w:sz="0" w:space="0" w:color="auto"/>
            <w:right w:val="none" w:sz="0" w:space="0" w:color="auto"/>
          </w:divBdr>
        </w:div>
        <w:div w:id="227305368">
          <w:marLeft w:val="1080"/>
          <w:marRight w:val="0"/>
          <w:marTop w:val="100"/>
          <w:marBottom w:val="0"/>
          <w:divBdr>
            <w:top w:val="none" w:sz="0" w:space="0" w:color="auto"/>
            <w:left w:val="none" w:sz="0" w:space="0" w:color="auto"/>
            <w:bottom w:val="none" w:sz="0" w:space="0" w:color="auto"/>
            <w:right w:val="none" w:sz="0" w:space="0" w:color="auto"/>
          </w:divBdr>
        </w:div>
        <w:div w:id="1818450347">
          <w:marLeft w:val="360"/>
          <w:marRight w:val="0"/>
          <w:marTop w:val="200"/>
          <w:marBottom w:val="0"/>
          <w:divBdr>
            <w:top w:val="none" w:sz="0" w:space="0" w:color="auto"/>
            <w:left w:val="none" w:sz="0" w:space="0" w:color="auto"/>
            <w:bottom w:val="none" w:sz="0" w:space="0" w:color="auto"/>
            <w:right w:val="none" w:sz="0" w:space="0" w:color="auto"/>
          </w:divBdr>
        </w:div>
        <w:div w:id="2052921785">
          <w:marLeft w:val="360"/>
          <w:marRight w:val="0"/>
          <w:marTop w:val="200"/>
          <w:marBottom w:val="0"/>
          <w:divBdr>
            <w:top w:val="none" w:sz="0" w:space="0" w:color="auto"/>
            <w:left w:val="none" w:sz="0" w:space="0" w:color="auto"/>
            <w:bottom w:val="none" w:sz="0" w:space="0" w:color="auto"/>
            <w:right w:val="none" w:sz="0" w:space="0" w:color="auto"/>
          </w:divBdr>
        </w:div>
        <w:div w:id="141662658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591CD8-8AA5-4210-AD4F-E084DED4A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1352</Words>
  <Characters>7707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2019-10-01T15:58:00Z</dcterms:created>
  <dcterms:modified xsi:type="dcterms:W3CDTF">2020-08-07T10:43:00Z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